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2552C4FF" w:rsidR="00701011" w:rsidRPr="00701011" w:rsidRDefault="00E44B2C" w:rsidP="00F905BC">
      <w:pPr>
        <w:pStyle w:val="Title"/>
        <w:ind w:left="851"/>
      </w:pPr>
      <w:r>
        <w:t>Diversity in supply arrangements</w:t>
      </w:r>
    </w:p>
    <w:p w14:paraId="068B9DF5" w14:textId="77777777" w:rsidR="00E44B2C" w:rsidRPr="00E44B2C" w:rsidRDefault="00E44B2C" w:rsidP="00F905BC">
      <w:pPr>
        <w:ind w:left="851"/>
        <w:rPr>
          <w:rStyle w:val="SubtleEmphasis"/>
          <w:sz w:val="36"/>
          <w:szCs w:val="40"/>
        </w:rPr>
      </w:pPr>
    </w:p>
    <w:p w14:paraId="62B1A47A" w14:textId="133FC1DD" w:rsidR="00F752DB" w:rsidRPr="00701011" w:rsidRDefault="00F752DB" w:rsidP="00F905BC">
      <w:pPr>
        <w:ind w:left="851"/>
        <w:rPr>
          <w:rStyle w:val="SubtleEmphasis"/>
        </w:rPr>
      </w:pPr>
      <w:r w:rsidRPr="00701011">
        <w:rPr>
          <w:rStyle w:val="SubtleEmphasis"/>
        </w:rPr>
        <w:br w:type="page"/>
      </w:r>
    </w:p>
    <w:p w14:paraId="68EF396C" w14:textId="77777777" w:rsidR="00E44B2C" w:rsidRDefault="00E44B2C" w:rsidP="00E44B2C">
      <w:pPr>
        <w:ind w:left="284"/>
        <w:rPr>
          <w:b/>
          <w:i/>
          <w:sz w:val="18"/>
          <w:highlight w:val="yellow"/>
        </w:rPr>
      </w:pPr>
    </w:p>
    <w:p w14:paraId="3C7ACC89" w14:textId="77777777" w:rsidR="00E44B2C" w:rsidRDefault="00E44B2C" w:rsidP="00E44B2C">
      <w:pPr>
        <w:ind w:left="284"/>
        <w:rPr>
          <w:b/>
          <w:i/>
          <w:sz w:val="18"/>
          <w:highlight w:val="yellow"/>
        </w:rPr>
      </w:pPr>
    </w:p>
    <w:p w14:paraId="4E05779D" w14:textId="77777777" w:rsidR="00E44B2C" w:rsidRDefault="00E44B2C" w:rsidP="00E44B2C">
      <w:pPr>
        <w:ind w:left="284"/>
        <w:rPr>
          <w:b/>
          <w:i/>
          <w:sz w:val="18"/>
          <w:highlight w:val="yellow"/>
        </w:rPr>
      </w:pPr>
    </w:p>
    <w:p w14:paraId="42CAA5B1" w14:textId="77777777" w:rsidR="00E44B2C" w:rsidRDefault="00E44B2C" w:rsidP="00E44B2C">
      <w:pPr>
        <w:ind w:left="284"/>
        <w:rPr>
          <w:b/>
          <w:i/>
          <w:sz w:val="18"/>
          <w:highlight w:val="yellow"/>
        </w:rPr>
      </w:pPr>
    </w:p>
    <w:p w14:paraId="7343411A" w14:textId="77777777" w:rsidR="00E44B2C" w:rsidRDefault="00E44B2C" w:rsidP="00E44B2C">
      <w:pPr>
        <w:ind w:left="284"/>
        <w:rPr>
          <w:b/>
          <w:i/>
          <w:sz w:val="18"/>
          <w:highlight w:val="yellow"/>
        </w:rPr>
      </w:pPr>
    </w:p>
    <w:p w14:paraId="76257F6C" w14:textId="77777777" w:rsidR="00E44B2C" w:rsidRDefault="00E44B2C" w:rsidP="00E44B2C">
      <w:pPr>
        <w:ind w:left="284"/>
        <w:rPr>
          <w:b/>
          <w:i/>
          <w:sz w:val="18"/>
          <w:highlight w:val="yellow"/>
        </w:rPr>
      </w:pPr>
    </w:p>
    <w:p w14:paraId="1796518A" w14:textId="77777777" w:rsidR="00E44B2C" w:rsidRDefault="00E44B2C" w:rsidP="00E44B2C">
      <w:pPr>
        <w:ind w:left="284"/>
        <w:rPr>
          <w:b/>
          <w:i/>
          <w:sz w:val="18"/>
          <w:highlight w:val="yellow"/>
        </w:rPr>
      </w:pPr>
    </w:p>
    <w:p w14:paraId="7CC2E5FC" w14:textId="35907122" w:rsidR="00E44B2C" w:rsidRDefault="00E44B2C" w:rsidP="00E44B2C">
      <w:pPr>
        <w:ind w:left="284"/>
        <w:rPr>
          <w:b/>
          <w:i/>
          <w:sz w:val="18"/>
          <w:highlight w:val="yellow"/>
        </w:rPr>
      </w:pPr>
    </w:p>
    <w:p w14:paraId="0150FB60" w14:textId="1D4F90B8" w:rsidR="009F742D" w:rsidRDefault="009F742D" w:rsidP="00E44B2C">
      <w:pPr>
        <w:ind w:left="284"/>
        <w:rPr>
          <w:b/>
          <w:i/>
          <w:sz w:val="18"/>
          <w:highlight w:val="yellow"/>
        </w:rPr>
      </w:pPr>
    </w:p>
    <w:p w14:paraId="106FB109" w14:textId="27E75B5C" w:rsidR="009F742D" w:rsidRDefault="009F742D" w:rsidP="00E44B2C">
      <w:pPr>
        <w:ind w:left="284"/>
        <w:rPr>
          <w:b/>
          <w:i/>
          <w:sz w:val="18"/>
          <w:highlight w:val="yellow"/>
        </w:rPr>
      </w:pPr>
    </w:p>
    <w:p w14:paraId="71A89346" w14:textId="6B26EB7C" w:rsidR="009F742D" w:rsidRDefault="009F742D" w:rsidP="00E44B2C">
      <w:pPr>
        <w:ind w:left="284"/>
        <w:rPr>
          <w:b/>
          <w:i/>
          <w:sz w:val="18"/>
          <w:highlight w:val="yellow"/>
        </w:rPr>
      </w:pPr>
    </w:p>
    <w:p w14:paraId="6D476C06" w14:textId="77777777" w:rsidR="009F742D" w:rsidRDefault="009F742D" w:rsidP="00E44B2C">
      <w:pPr>
        <w:ind w:left="284"/>
        <w:rPr>
          <w:b/>
          <w:i/>
          <w:sz w:val="18"/>
          <w:highlight w:val="yellow"/>
        </w:rPr>
      </w:pPr>
    </w:p>
    <w:p w14:paraId="5AD3A0ED" w14:textId="3E8AE578" w:rsidR="00E44B2C" w:rsidRDefault="00E44B2C" w:rsidP="00E44B2C">
      <w:pPr>
        <w:ind w:left="284"/>
        <w:rPr>
          <w:rFonts w:cs="Arial"/>
          <w:bCs/>
          <w:i/>
          <w:iCs/>
          <w:color w:val="000000" w:themeColor="text1"/>
          <w:sz w:val="18"/>
          <w:szCs w:val="18"/>
          <w:lang w:eastAsia="en-AU"/>
        </w:rPr>
      </w:pPr>
      <w:r w:rsidRPr="00260999">
        <w:rPr>
          <w:rFonts w:cs="Arial"/>
          <w:bCs/>
          <w:i/>
          <w:iCs/>
          <w:color w:val="000000" w:themeColor="text1"/>
          <w:sz w:val="18"/>
          <w:szCs w:val="18"/>
          <w:lang w:eastAsia="en-AU"/>
        </w:rPr>
        <w:t>Title</w:t>
      </w:r>
    </w:p>
    <w:p w14:paraId="4535E83B" w14:textId="7EAB7CD8" w:rsidR="00E44B2C" w:rsidRDefault="00E44B2C" w:rsidP="00E44B2C">
      <w:pPr>
        <w:ind w:left="284"/>
        <w:rPr>
          <w:b/>
          <w:i/>
          <w:sz w:val="18"/>
        </w:rPr>
      </w:pPr>
      <w:proofErr w:type="spellStart"/>
      <w:r w:rsidRPr="009E1AC4">
        <w:rPr>
          <w:rFonts w:cs="Arial"/>
          <w:bCs/>
          <w:i/>
          <w:iCs/>
          <w:color w:val="000000" w:themeColor="text1"/>
          <w:sz w:val="18"/>
          <w:szCs w:val="18"/>
          <w:lang w:eastAsia="en-AU"/>
        </w:rPr>
        <w:t>v</w:t>
      </w:r>
      <w:r w:rsidR="0028184C">
        <w:rPr>
          <w:rFonts w:cs="Arial"/>
          <w:bCs/>
          <w:i/>
          <w:iCs/>
          <w:color w:val="000000" w:themeColor="text1"/>
          <w:sz w:val="18"/>
          <w:szCs w:val="18"/>
          <w:lang w:eastAsia="en-AU"/>
        </w:rPr>
        <w:t>2</w:t>
      </w:r>
      <w:proofErr w:type="spellEnd"/>
      <w:r w:rsidRPr="009E1AC4">
        <w:rPr>
          <w:rFonts w:cs="Arial"/>
          <w:bCs/>
          <w:i/>
          <w:iCs/>
          <w:color w:val="000000" w:themeColor="text1"/>
          <w:sz w:val="18"/>
          <w:szCs w:val="18"/>
          <w:lang w:eastAsia="en-AU"/>
        </w:rPr>
        <w:t xml:space="preserve"> </w:t>
      </w:r>
      <w:r w:rsidR="0028184C">
        <w:rPr>
          <w:rFonts w:cs="Arial"/>
          <w:bCs/>
          <w:i/>
          <w:iCs/>
          <w:color w:val="000000" w:themeColor="text1"/>
          <w:sz w:val="18"/>
          <w:szCs w:val="18"/>
          <w:lang w:eastAsia="en-AU"/>
        </w:rPr>
        <w:t>November</w:t>
      </w:r>
      <w:r w:rsidR="001B62D8">
        <w:rPr>
          <w:rFonts w:cs="Arial"/>
          <w:bCs/>
          <w:i/>
          <w:iCs/>
          <w:color w:val="000000" w:themeColor="text1"/>
          <w:sz w:val="18"/>
          <w:szCs w:val="18"/>
          <w:lang w:eastAsia="en-AU"/>
        </w:rPr>
        <w:t xml:space="preserve"> </w:t>
      </w:r>
      <w:r w:rsidRPr="009E1AC4">
        <w:rPr>
          <w:rFonts w:cs="Arial"/>
          <w:bCs/>
          <w:i/>
          <w:iCs/>
          <w:color w:val="000000" w:themeColor="text1"/>
          <w:sz w:val="18"/>
          <w:szCs w:val="18"/>
          <w:lang w:eastAsia="en-AU"/>
        </w:rPr>
        <w:t>202</w:t>
      </w:r>
      <w:r w:rsidR="003900DA" w:rsidRPr="00E8004A">
        <w:rPr>
          <w:rFonts w:cs="Arial"/>
          <w:bCs/>
          <w:i/>
          <w:iCs/>
          <w:color w:val="000000" w:themeColor="text1"/>
          <w:sz w:val="18"/>
          <w:szCs w:val="18"/>
          <w:lang w:eastAsia="en-AU"/>
        </w:rPr>
        <w:t>3</w:t>
      </w:r>
    </w:p>
    <w:p w14:paraId="401AF0F5" w14:textId="1543159E" w:rsidR="00E44B2C" w:rsidRDefault="00E44B2C" w:rsidP="00E44B2C">
      <w:pPr>
        <w:ind w:left="284"/>
        <w:rPr>
          <w:b/>
          <w:sz w:val="18"/>
        </w:rPr>
      </w:pPr>
      <w:r>
        <w:rPr>
          <w:b/>
          <w:sz w:val="18"/>
        </w:rPr>
        <w:t xml:space="preserve">The State of Queensland (Department of </w:t>
      </w:r>
      <w:r w:rsidR="003900DA">
        <w:rPr>
          <w:b/>
          <w:sz w:val="18"/>
        </w:rPr>
        <w:t>Energy and P</w:t>
      </w:r>
      <w:r>
        <w:rPr>
          <w:b/>
          <w:sz w:val="18"/>
        </w:rPr>
        <w:t xml:space="preserve">ublic Works) </w:t>
      </w:r>
      <w:r w:rsidRPr="009E1AC4">
        <w:rPr>
          <w:b/>
          <w:sz w:val="18"/>
        </w:rPr>
        <w:t>202</w:t>
      </w:r>
      <w:r w:rsidR="003900DA" w:rsidRPr="00E8004A">
        <w:rPr>
          <w:b/>
          <w:sz w:val="18"/>
        </w:rPr>
        <w:t>3</w:t>
      </w:r>
    </w:p>
    <w:p w14:paraId="649AB274" w14:textId="168958B1" w:rsidR="00E44B2C" w:rsidRDefault="00E44B2C" w:rsidP="00E44B2C">
      <w:pPr>
        <w:ind w:left="284"/>
        <w:rPr>
          <w:sz w:val="18"/>
        </w:rPr>
      </w:pPr>
      <w:r>
        <w:rPr>
          <w:noProof/>
          <w:lang w:val="en-US"/>
        </w:rPr>
        <w:drawing>
          <wp:inline distT="0" distB="0" distL="0" distR="0" wp14:anchorId="2E1C3D04" wp14:editId="4A691A37">
            <wp:extent cx="381000" cy="12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68" cy="140556"/>
                    </a:xfrm>
                    <a:prstGeom prst="rect">
                      <a:avLst/>
                    </a:prstGeom>
                    <a:noFill/>
                    <a:ln>
                      <a:noFill/>
                    </a:ln>
                  </pic:spPr>
                </pic:pic>
              </a:graphicData>
            </a:graphic>
          </wp:inline>
        </w:drawing>
      </w:r>
    </w:p>
    <w:p w14:paraId="1DBD08F9" w14:textId="77777777" w:rsidR="00E44B2C" w:rsidRDefault="007E1A13" w:rsidP="00E44B2C">
      <w:pPr>
        <w:ind w:left="284"/>
        <w:rPr>
          <w:sz w:val="18"/>
        </w:rPr>
      </w:pPr>
      <w:hyperlink r:id="rId11" w:history="1">
        <w:r w:rsidR="00E44B2C">
          <w:rPr>
            <w:rStyle w:val="Hyperlink"/>
            <w:sz w:val="18"/>
          </w:rPr>
          <w:t>http://creativecommons.org/licenses/by/4.0/deed.en</w:t>
        </w:r>
      </w:hyperlink>
      <w:r w:rsidR="00E44B2C">
        <w:rPr>
          <w:sz w:val="18"/>
        </w:rPr>
        <w:t xml:space="preserve"> </w:t>
      </w:r>
    </w:p>
    <w:p w14:paraId="780E0375" w14:textId="49A1114F" w:rsidR="00E44B2C" w:rsidRDefault="00E44B2C" w:rsidP="00E44B2C">
      <w:pPr>
        <w:spacing w:after="120"/>
        <w:ind w:left="284"/>
        <w:rPr>
          <w:sz w:val="18"/>
        </w:rPr>
      </w:pPr>
      <w:r>
        <w:rPr>
          <w:sz w:val="18"/>
        </w:rPr>
        <w:t xml:space="preserve">This work is licensed under a Creative Commons Attribution 4.0 Australia Licence. You are free to copy, communicate and adapt this work, as long as you attribute by citing ‘Diversity in supply arrangements, State of Queensland (Department of </w:t>
      </w:r>
      <w:r w:rsidR="002B6844">
        <w:rPr>
          <w:sz w:val="18"/>
        </w:rPr>
        <w:t xml:space="preserve">Energy </w:t>
      </w:r>
      <w:r>
        <w:rPr>
          <w:sz w:val="18"/>
        </w:rPr>
        <w:t xml:space="preserve">and Public Works) </w:t>
      </w:r>
      <w:r w:rsidRPr="008C1845">
        <w:rPr>
          <w:sz w:val="18"/>
        </w:rPr>
        <w:t>2020</w:t>
      </w:r>
      <w:r>
        <w:rPr>
          <w:sz w:val="18"/>
        </w:rPr>
        <w:t>’.</w:t>
      </w:r>
    </w:p>
    <w:p w14:paraId="4CA798E3" w14:textId="77777777" w:rsidR="00E44B2C" w:rsidRPr="00EC0BBD" w:rsidRDefault="00E44B2C" w:rsidP="00E44B2C">
      <w:pPr>
        <w:spacing w:after="0"/>
        <w:ind w:left="284"/>
        <w:rPr>
          <w:b/>
          <w:sz w:val="18"/>
          <w:lang w:bidi="en-AU"/>
        </w:rPr>
      </w:pPr>
      <w:r w:rsidRPr="00EC0BBD">
        <w:rPr>
          <w:b/>
          <w:sz w:val="18"/>
          <w:lang w:bidi="en-AU"/>
        </w:rPr>
        <w:t>Acknowledgments</w:t>
      </w:r>
    </w:p>
    <w:p w14:paraId="54A12032" w14:textId="4321E568" w:rsidR="00E44B2C" w:rsidRDefault="00E44B2C" w:rsidP="00E44B2C">
      <w:pPr>
        <w:spacing w:after="120"/>
        <w:ind w:left="284"/>
        <w:rPr>
          <w:sz w:val="18"/>
          <w:lang w:bidi="en-AU"/>
        </w:rPr>
      </w:pPr>
      <w:r w:rsidRPr="00EC0BBD">
        <w:rPr>
          <w:sz w:val="18"/>
          <w:lang w:bidi="en-AU"/>
        </w:rPr>
        <w:t xml:space="preserve">This guide is a product of the Queensland Government Social Procurement Project. The Queensland Department of </w:t>
      </w:r>
      <w:r w:rsidR="002B6844">
        <w:rPr>
          <w:sz w:val="18"/>
          <w:lang w:bidi="en-AU"/>
        </w:rPr>
        <w:t>Energy</w:t>
      </w:r>
      <w:r w:rsidRPr="00EC0BBD">
        <w:rPr>
          <w:sz w:val="18"/>
          <w:lang w:bidi="en-AU"/>
        </w:rPr>
        <w:t xml:space="preserve"> and Public Works gratefully acknowledges funding and assistance received from the Queensland Mental Health Commission in establishing and guiding the Queensland Government Social Procurement Project.</w:t>
      </w:r>
    </w:p>
    <w:p w14:paraId="312038C3" w14:textId="719209A7" w:rsidR="003D15D0" w:rsidRDefault="00E44B2C" w:rsidP="00AF3BE8">
      <w:pPr>
        <w:spacing w:after="0" w:line="240" w:lineRule="auto"/>
        <w:ind w:left="284"/>
        <w:rPr>
          <w:sz w:val="18"/>
        </w:rPr>
      </w:pPr>
      <w:r>
        <w:rPr>
          <w:b/>
          <w:sz w:val="18"/>
          <w:lang w:bidi="en-AU"/>
        </w:rPr>
        <w:t>Contact us</w:t>
      </w:r>
    </w:p>
    <w:p w14:paraId="445CEEF0" w14:textId="7782DCA6" w:rsidR="00E44B2C" w:rsidRDefault="003900DA" w:rsidP="00E44B2C">
      <w:pPr>
        <w:spacing w:after="120"/>
        <w:ind w:left="284"/>
        <w:rPr>
          <w:sz w:val="18"/>
        </w:rPr>
      </w:pPr>
      <w:r>
        <w:rPr>
          <w:sz w:val="18"/>
        </w:rPr>
        <w:t xml:space="preserve">Queensland Government Procurement </w:t>
      </w:r>
      <w:r w:rsidR="00E44B2C">
        <w:rPr>
          <w:sz w:val="18"/>
        </w:rPr>
        <w:t xml:space="preserve"> is committed to continuous improvement. If you have any </w:t>
      </w:r>
      <w:r w:rsidR="00E44B2C" w:rsidRPr="002B6844">
        <w:rPr>
          <w:rFonts w:cs="Arial"/>
          <w:sz w:val="18"/>
          <w:szCs w:val="18"/>
        </w:rPr>
        <w:t>suggestions about how we can improve this guide, or if you have any questions, contact us at</w:t>
      </w:r>
      <w:r w:rsidR="009E1AC4">
        <w:rPr>
          <w:rFonts w:cs="Arial"/>
          <w:sz w:val="18"/>
          <w:szCs w:val="18"/>
        </w:rPr>
        <w:t xml:space="preserve"> socialprocurement@epw.qld.gov.au</w:t>
      </w:r>
      <w:r w:rsidR="00496DCC">
        <w:rPr>
          <w:rFonts w:cs="Arial"/>
          <w:sz w:val="18"/>
          <w:szCs w:val="18"/>
        </w:rPr>
        <w:t>.</w:t>
      </w:r>
      <w:r w:rsidR="00E44B2C" w:rsidRPr="002B6844">
        <w:rPr>
          <w:rFonts w:cs="Arial"/>
          <w:sz w:val="18"/>
          <w:szCs w:val="18"/>
        </w:rPr>
        <w:t xml:space="preserve"> </w:t>
      </w:r>
      <w:r w:rsidR="00E44B2C">
        <w:rPr>
          <w:sz w:val="18"/>
        </w:rPr>
        <w:t xml:space="preserve"> </w:t>
      </w:r>
    </w:p>
    <w:p w14:paraId="339FD251" w14:textId="0A893C70" w:rsidR="003D15D0" w:rsidRDefault="00E44B2C" w:rsidP="00AF3BE8">
      <w:pPr>
        <w:spacing w:after="0" w:line="240" w:lineRule="auto"/>
        <w:ind w:left="284"/>
        <w:rPr>
          <w:sz w:val="18"/>
          <w:szCs w:val="18"/>
        </w:rPr>
      </w:pPr>
      <w:r>
        <w:rPr>
          <w:b/>
          <w:sz w:val="18"/>
        </w:rPr>
        <w:t>Disclaimer</w:t>
      </w:r>
    </w:p>
    <w:p w14:paraId="3C473FAF" w14:textId="5AA2D3AF" w:rsidR="00E44B2C" w:rsidRPr="005032B7" w:rsidRDefault="00E44B2C" w:rsidP="00E44B2C">
      <w:pPr>
        <w:spacing w:after="120"/>
        <w:ind w:left="284"/>
        <w:rPr>
          <w:rFonts w:ascii="Calibri" w:hAnsi="Calibri"/>
          <w:sz w:val="18"/>
          <w:szCs w:val="18"/>
        </w:rPr>
      </w:pPr>
      <w:r w:rsidRPr="005032B7">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1462F5E4" w14:textId="4ED0A828" w:rsidR="00E44B2C" w:rsidRPr="005032B7" w:rsidRDefault="00E44B2C" w:rsidP="00E44B2C">
      <w:pPr>
        <w:ind w:left="284"/>
        <w:rPr>
          <w:sz w:val="18"/>
        </w:rPr>
      </w:pPr>
      <w:r w:rsidRPr="005032B7">
        <w:rPr>
          <w:sz w:val="18"/>
        </w:rPr>
        <w:t xml:space="preserve">The </w:t>
      </w:r>
      <w:r w:rsidR="005032B7" w:rsidRPr="00E8004A">
        <w:rPr>
          <w:sz w:val="18"/>
        </w:rPr>
        <w:t>Department of Energy and Public Works</w:t>
      </w:r>
      <w:r w:rsidR="005032B7" w:rsidRPr="00E8004A" w:rsidDel="005032B7">
        <w:rPr>
          <w:sz w:val="18"/>
        </w:rPr>
        <w:t xml:space="preserve"> </w:t>
      </w:r>
      <w:r w:rsidRPr="005032B7">
        <w:rPr>
          <w:sz w:val="18"/>
        </w:rPr>
        <w:t xml:space="preserve">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w:t>
      </w:r>
      <w:r w:rsidR="005032B7" w:rsidRPr="00E8004A">
        <w:rPr>
          <w:sz w:val="18"/>
        </w:rPr>
        <w:t>Department of Energy and Public Works</w:t>
      </w:r>
      <w:r w:rsidRPr="005032B7">
        <w:rPr>
          <w:sz w:val="18"/>
        </w:rPr>
        <w:t>, a reasonable effort will be made to correct them.</w:t>
      </w:r>
    </w:p>
    <w:sdt>
      <w:sdtPr>
        <w:rPr>
          <w:rFonts w:eastAsiaTheme="minorHAnsi" w:cstheme="minorBidi"/>
          <w:b w:val="0"/>
          <w:color w:val="auto"/>
          <w:sz w:val="22"/>
          <w:szCs w:val="24"/>
          <w:lang w:val="en-AU"/>
        </w:rPr>
        <w:id w:val="-382410470"/>
        <w:docPartObj>
          <w:docPartGallery w:val="Table of Contents"/>
          <w:docPartUnique/>
        </w:docPartObj>
      </w:sdtPr>
      <w:sdtEndPr>
        <w:rPr>
          <w:bCs/>
          <w:noProof/>
          <w:sz w:val="20"/>
          <w:szCs w:val="22"/>
        </w:rPr>
      </w:sdtEndPr>
      <w:sdtContent>
        <w:p w14:paraId="10F1F0F8" w14:textId="77777777" w:rsidR="00E44B2C" w:rsidRDefault="00E44B2C" w:rsidP="00E44B2C">
          <w:pPr>
            <w:pStyle w:val="TOCHeading"/>
          </w:pPr>
          <w:r>
            <w:t>Table of Contents</w:t>
          </w:r>
        </w:p>
        <w:p w14:paraId="516D74F1" w14:textId="0AC06A02" w:rsidR="00771003" w:rsidRDefault="00E44B2C">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151390519" w:history="1">
            <w:r w:rsidR="00771003" w:rsidRPr="009C51B6">
              <w:rPr>
                <w:rStyle w:val="Hyperlink"/>
                <w:rFonts w:eastAsia="Arial"/>
                <w:noProof/>
                <w:lang w:bidi="en-AU"/>
              </w:rPr>
              <w:t>Introduction</w:t>
            </w:r>
            <w:r w:rsidR="00771003">
              <w:rPr>
                <w:noProof/>
                <w:webHidden/>
              </w:rPr>
              <w:tab/>
            </w:r>
            <w:r w:rsidR="00771003">
              <w:rPr>
                <w:noProof/>
                <w:webHidden/>
              </w:rPr>
              <w:fldChar w:fldCharType="begin"/>
            </w:r>
            <w:r w:rsidR="00771003">
              <w:rPr>
                <w:noProof/>
                <w:webHidden/>
              </w:rPr>
              <w:instrText xml:space="preserve"> PAGEREF _Toc151390519 \h </w:instrText>
            </w:r>
            <w:r w:rsidR="00771003">
              <w:rPr>
                <w:noProof/>
                <w:webHidden/>
              </w:rPr>
            </w:r>
            <w:r w:rsidR="00771003">
              <w:rPr>
                <w:noProof/>
                <w:webHidden/>
              </w:rPr>
              <w:fldChar w:fldCharType="separate"/>
            </w:r>
            <w:r w:rsidR="00661BA1">
              <w:rPr>
                <w:noProof/>
                <w:webHidden/>
              </w:rPr>
              <w:t>4</w:t>
            </w:r>
            <w:r w:rsidR="00771003">
              <w:rPr>
                <w:noProof/>
                <w:webHidden/>
              </w:rPr>
              <w:fldChar w:fldCharType="end"/>
            </w:r>
          </w:hyperlink>
        </w:p>
        <w:p w14:paraId="6F2C2DA1" w14:textId="14C77C71" w:rsidR="00771003" w:rsidRDefault="007E1A13">
          <w:pPr>
            <w:pStyle w:val="TOC1"/>
            <w:rPr>
              <w:rFonts w:asciiTheme="minorHAnsi" w:eastAsiaTheme="minorEastAsia" w:hAnsiTheme="minorHAnsi" w:cstheme="minorBidi"/>
              <w:b w:val="0"/>
              <w:bCs w:val="0"/>
              <w:noProof/>
              <w:color w:val="auto"/>
              <w:szCs w:val="22"/>
            </w:rPr>
          </w:pPr>
          <w:hyperlink w:anchor="_Toc151390520" w:history="1">
            <w:r w:rsidR="00771003" w:rsidRPr="009C51B6">
              <w:rPr>
                <w:rStyle w:val="Hyperlink"/>
                <w:rFonts w:eastAsia="Arial"/>
                <w:noProof/>
                <w:lang w:bidi="en-AU"/>
              </w:rPr>
              <w:t>Policies, principles and context</w:t>
            </w:r>
            <w:r w:rsidR="00771003">
              <w:rPr>
                <w:noProof/>
                <w:webHidden/>
              </w:rPr>
              <w:tab/>
            </w:r>
            <w:r w:rsidR="00771003">
              <w:rPr>
                <w:noProof/>
                <w:webHidden/>
              </w:rPr>
              <w:fldChar w:fldCharType="begin"/>
            </w:r>
            <w:r w:rsidR="00771003">
              <w:rPr>
                <w:noProof/>
                <w:webHidden/>
              </w:rPr>
              <w:instrText xml:space="preserve"> PAGEREF _Toc151390520 \h </w:instrText>
            </w:r>
            <w:r w:rsidR="00771003">
              <w:rPr>
                <w:noProof/>
                <w:webHidden/>
              </w:rPr>
            </w:r>
            <w:r w:rsidR="00771003">
              <w:rPr>
                <w:noProof/>
                <w:webHidden/>
              </w:rPr>
              <w:fldChar w:fldCharType="separate"/>
            </w:r>
            <w:r w:rsidR="00661BA1">
              <w:rPr>
                <w:noProof/>
                <w:webHidden/>
              </w:rPr>
              <w:t>4</w:t>
            </w:r>
            <w:r w:rsidR="00771003">
              <w:rPr>
                <w:noProof/>
                <w:webHidden/>
              </w:rPr>
              <w:fldChar w:fldCharType="end"/>
            </w:r>
          </w:hyperlink>
        </w:p>
        <w:p w14:paraId="0CDF5F8B" w14:textId="76C3FB36" w:rsidR="00771003" w:rsidRDefault="007E1A13">
          <w:pPr>
            <w:pStyle w:val="TOC2"/>
            <w:rPr>
              <w:rFonts w:asciiTheme="minorHAnsi" w:eastAsiaTheme="minorEastAsia" w:hAnsiTheme="minorHAnsi" w:cstheme="minorBidi"/>
              <w:b w:val="0"/>
              <w:bCs w:val="0"/>
              <w:noProof/>
              <w:color w:val="auto"/>
              <w:szCs w:val="22"/>
            </w:rPr>
          </w:pPr>
          <w:hyperlink w:anchor="_Toc151390521" w:history="1">
            <w:r w:rsidR="00771003" w:rsidRPr="009C51B6">
              <w:rPr>
                <w:rStyle w:val="Hyperlink"/>
                <w:rFonts w:eastAsiaTheme="majorEastAsia"/>
                <w:noProof/>
              </w:rPr>
              <w:t>Policy in practice</w:t>
            </w:r>
            <w:r w:rsidR="00771003">
              <w:rPr>
                <w:noProof/>
                <w:webHidden/>
              </w:rPr>
              <w:tab/>
            </w:r>
            <w:r w:rsidR="00771003">
              <w:rPr>
                <w:noProof/>
                <w:webHidden/>
              </w:rPr>
              <w:fldChar w:fldCharType="begin"/>
            </w:r>
            <w:r w:rsidR="00771003">
              <w:rPr>
                <w:noProof/>
                <w:webHidden/>
              </w:rPr>
              <w:instrText xml:space="preserve"> PAGEREF _Toc151390521 \h </w:instrText>
            </w:r>
            <w:r w:rsidR="00771003">
              <w:rPr>
                <w:noProof/>
                <w:webHidden/>
              </w:rPr>
            </w:r>
            <w:r w:rsidR="00771003">
              <w:rPr>
                <w:noProof/>
                <w:webHidden/>
              </w:rPr>
              <w:fldChar w:fldCharType="separate"/>
            </w:r>
            <w:r w:rsidR="00661BA1">
              <w:rPr>
                <w:noProof/>
                <w:webHidden/>
              </w:rPr>
              <w:t>5</w:t>
            </w:r>
            <w:r w:rsidR="00771003">
              <w:rPr>
                <w:noProof/>
                <w:webHidden/>
              </w:rPr>
              <w:fldChar w:fldCharType="end"/>
            </w:r>
          </w:hyperlink>
        </w:p>
        <w:p w14:paraId="70611A41" w14:textId="470A4812" w:rsidR="00771003" w:rsidRDefault="007E1A13">
          <w:pPr>
            <w:pStyle w:val="TOC1"/>
            <w:rPr>
              <w:rFonts w:asciiTheme="minorHAnsi" w:eastAsiaTheme="minorEastAsia" w:hAnsiTheme="minorHAnsi" w:cstheme="minorBidi"/>
              <w:b w:val="0"/>
              <w:bCs w:val="0"/>
              <w:noProof/>
              <w:color w:val="auto"/>
              <w:szCs w:val="22"/>
            </w:rPr>
          </w:pPr>
          <w:hyperlink w:anchor="_Toc151390522" w:history="1">
            <w:r w:rsidR="00771003" w:rsidRPr="009C51B6">
              <w:rPr>
                <w:rStyle w:val="Hyperlink"/>
                <w:rFonts w:eastAsiaTheme="majorEastAsia"/>
                <w:noProof/>
              </w:rPr>
              <w:t>Considering diversity in each stage of the procurement process</w:t>
            </w:r>
            <w:r w:rsidR="00771003">
              <w:rPr>
                <w:noProof/>
                <w:webHidden/>
              </w:rPr>
              <w:tab/>
            </w:r>
            <w:r w:rsidR="00771003">
              <w:rPr>
                <w:noProof/>
                <w:webHidden/>
              </w:rPr>
              <w:fldChar w:fldCharType="begin"/>
            </w:r>
            <w:r w:rsidR="00771003">
              <w:rPr>
                <w:noProof/>
                <w:webHidden/>
              </w:rPr>
              <w:instrText xml:space="preserve"> PAGEREF _Toc151390522 \h </w:instrText>
            </w:r>
            <w:r w:rsidR="00771003">
              <w:rPr>
                <w:noProof/>
                <w:webHidden/>
              </w:rPr>
            </w:r>
            <w:r w:rsidR="00771003">
              <w:rPr>
                <w:noProof/>
                <w:webHidden/>
              </w:rPr>
              <w:fldChar w:fldCharType="separate"/>
            </w:r>
            <w:r w:rsidR="00661BA1">
              <w:rPr>
                <w:noProof/>
                <w:webHidden/>
              </w:rPr>
              <w:t>6</w:t>
            </w:r>
            <w:r w:rsidR="00771003">
              <w:rPr>
                <w:noProof/>
                <w:webHidden/>
              </w:rPr>
              <w:fldChar w:fldCharType="end"/>
            </w:r>
          </w:hyperlink>
        </w:p>
        <w:p w14:paraId="583929BF" w14:textId="57953E73" w:rsidR="00771003" w:rsidRDefault="007E1A13">
          <w:pPr>
            <w:pStyle w:val="TOC1"/>
            <w:rPr>
              <w:rFonts w:asciiTheme="minorHAnsi" w:eastAsiaTheme="minorEastAsia" w:hAnsiTheme="minorHAnsi" w:cstheme="minorBidi"/>
              <w:b w:val="0"/>
              <w:bCs w:val="0"/>
              <w:noProof/>
              <w:color w:val="auto"/>
              <w:szCs w:val="22"/>
            </w:rPr>
          </w:pPr>
          <w:hyperlink w:anchor="_Toc151390523" w:history="1">
            <w:r w:rsidR="00771003" w:rsidRPr="009C51B6">
              <w:rPr>
                <w:rStyle w:val="Hyperlink"/>
                <w:rFonts w:eastAsiaTheme="majorEastAsia"/>
                <w:noProof/>
              </w:rPr>
              <w:t>Appendix 1—Example clauses</w:t>
            </w:r>
            <w:r w:rsidR="00771003">
              <w:rPr>
                <w:noProof/>
                <w:webHidden/>
              </w:rPr>
              <w:tab/>
            </w:r>
            <w:r w:rsidR="00771003">
              <w:rPr>
                <w:noProof/>
                <w:webHidden/>
              </w:rPr>
              <w:fldChar w:fldCharType="begin"/>
            </w:r>
            <w:r w:rsidR="00771003">
              <w:rPr>
                <w:noProof/>
                <w:webHidden/>
              </w:rPr>
              <w:instrText xml:space="preserve"> PAGEREF _Toc151390523 \h </w:instrText>
            </w:r>
            <w:r w:rsidR="00771003">
              <w:rPr>
                <w:noProof/>
                <w:webHidden/>
              </w:rPr>
            </w:r>
            <w:r w:rsidR="00771003">
              <w:rPr>
                <w:noProof/>
                <w:webHidden/>
              </w:rPr>
              <w:fldChar w:fldCharType="separate"/>
            </w:r>
            <w:r w:rsidR="00661BA1">
              <w:rPr>
                <w:noProof/>
                <w:webHidden/>
              </w:rPr>
              <w:t>9</w:t>
            </w:r>
            <w:r w:rsidR="00771003">
              <w:rPr>
                <w:noProof/>
                <w:webHidden/>
              </w:rPr>
              <w:fldChar w:fldCharType="end"/>
            </w:r>
          </w:hyperlink>
        </w:p>
        <w:p w14:paraId="2403613A" w14:textId="214C0C43" w:rsidR="00771003" w:rsidRDefault="007E1A13">
          <w:pPr>
            <w:pStyle w:val="TOC2"/>
            <w:rPr>
              <w:rFonts w:asciiTheme="minorHAnsi" w:eastAsiaTheme="minorEastAsia" w:hAnsiTheme="minorHAnsi" w:cstheme="minorBidi"/>
              <w:b w:val="0"/>
              <w:bCs w:val="0"/>
              <w:noProof/>
              <w:color w:val="auto"/>
              <w:szCs w:val="22"/>
            </w:rPr>
          </w:pPr>
          <w:hyperlink w:anchor="_Toc151390524" w:history="1">
            <w:r w:rsidR="00771003" w:rsidRPr="009C51B6">
              <w:rPr>
                <w:rStyle w:val="Hyperlink"/>
                <w:rFonts w:eastAsiaTheme="majorEastAsia"/>
                <w:noProof/>
              </w:rPr>
              <w:t>Invitation to offer (ITO) clause</w:t>
            </w:r>
            <w:r w:rsidR="00771003">
              <w:rPr>
                <w:noProof/>
                <w:webHidden/>
              </w:rPr>
              <w:tab/>
            </w:r>
            <w:r w:rsidR="00771003">
              <w:rPr>
                <w:noProof/>
                <w:webHidden/>
              </w:rPr>
              <w:fldChar w:fldCharType="begin"/>
            </w:r>
            <w:r w:rsidR="00771003">
              <w:rPr>
                <w:noProof/>
                <w:webHidden/>
              </w:rPr>
              <w:instrText xml:space="preserve"> PAGEREF _Toc151390524 \h </w:instrText>
            </w:r>
            <w:r w:rsidR="00771003">
              <w:rPr>
                <w:noProof/>
                <w:webHidden/>
              </w:rPr>
            </w:r>
            <w:r w:rsidR="00771003">
              <w:rPr>
                <w:noProof/>
                <w:webHidden/>
              </w:rPr>
              <w:fldChar w:fldCharType="separate"/>
            </w:r>
            <w:r w:rsidR="00661BA1">
              <w:rPr>
                <w:noProof/>
                <w:webHidden/>
              </w:rPr>
              <w:t>9</w:t>
            </w:r>
            <w:r w:rsidR="00771003">
              <w:rPr>
                <w:noProof/>
                <w:webHidden/>
              </w:rPr>
              <w:fldChar w:fldCharType="end"/>
            </w:r>
          </w:hyperlink>
        </w:p>
        <w:p w14:paraId="30B5A392" w14:textId="12D71887" w:rsidR="00771003" w:rsidRDefault="007E1A13">
          <w:pPr>
            <w:pStyle w:val="TOC2"/>
            <w:rPr>
              <w:rFonts w:asciiTheme="minorHAnsi" w:eastAsiaTheme="minorEastAsia" w:hAnsiTheme="minorHAnsi" w:cstheme="minorBidi"/>
              <w:b w:val="0"/>
              <w:bCs w:val="0"/>
              <w:noProof/>
              <w:color w:val="auto"/>
              <w:szCs w:val="22"/>
            </w:rPr>
          </w:pPr>
          <w:hyperlink w:anchor="_Toc151390525" w:history="1">
            <w:r w:rsidR="00771003" w:rsidRPr="009C51B6">
              <w:rPr>
                <w:rStyle w:val="Hyperlink"/>
                <w:rFonts w:eastAsiaTheme="majorEastAsia"/>
                <w:noProof/>
              </w:rPr>
              <w:t>Standing offer arrangement (SOA) conditions—non - exclusivity</w:t>
            </w:r>
            <w:r w:rsidR="00771003">
              <w:rPr>
                <w:noProof/>
                <w:webHidden/>
              </w:rPr>
              <w:tab/>
            </w:r>
            <w:r w:rsidR="00771003">
              <w:rPr>
                <w:noProof/>
                <w:webHidden/>
              </w:rPr>
              <w:fldChar w:fldCharType="begin"/>
            </w:r>
            <w:r w:rsidR="00771003">
              <w:rPr>
                <w:noProof/>
                <w:webHidden/>
              </w:rPr>
              <w:instrText xml:space="preserve"> PAGEREF _Toc151390525 \h </w:instrText>
            </w:r>
            <w:r w:rsidR="00771003">
              <w:rPr>
                <w:noProof/>
                <w:webHidden/>
              </w:rPr>
            </w:r>
            <w:r w:rsidR="00771003">
              <w:rPr>
                <w:noProof/>
                <w:webHidden/>
              </w:rPr>
              <w:fldChar w:fldCharType="separate"/>
            </w:r>
            <w:r w:rsidR="00661BA1">
              <w:rPr>
                <w:noProof/>
                <w:webHidden/>
              </w:rPr>
              <w:t>9</w:t>
            </w:r>
            <w:r w:rsidR="00771003">
              <w:rPr>
                <w:noProof/>
                <w:webHidden/>
              </w:rPr>
              <w:fldChar w:fldCharType="end"/>
            </w:r>
          </w:hyperlink>
        </w:p>
        <w:p w14:paraId="4350E60A" w14:textId="5B0A76B5" w:rsidR="00771003" w:rsidRDefault="007E1A13">
          <w:pPr>
            <w:pStyle w:val="TOC2"/>
            <w:rPr>
              <w:rFonts w:asciiTheme="minorHAnsi" w:eastAsiaTheme="minorEastAsia" w:hAnsiTheme="minorHAnsi" w:cstheme="minorBidi"/>
              <w:b w:val="0"/>
              <w:bCs w:val="0"/>
              <w:noProof/>
              <w:color w:val="auto"/>
              <w:szCs w:val="22"/>
            </w:rPr>
          </w:pPr>
          <w:hyperlink w:anchor="_Toc151390526" w:history="1">
            <w:r w:rsidR="00771003" w:rsidRPr="009C51B6">
              <w:rPr>
                <w:rStyle w:val="Hyperlink"/>
                <w:rFonts w:eastAsiaTheme="majorEastAsia"/>
                <w:noProof/>
              </w:rPr>
              <w:t>No process contract</w:t>
            </w:r>
            <w:r w:rsidR="00771003">
              <w:rPr>
                <w:noProof/>
                <w:webHidden/>
              </w:rPr>
              <w:tab/>
            </w:r>
            <w:r w:rsidR="00771003">
              <w:rPr>
                <w:noProof/>
                <w:webHidden/>
              </w:rPr>
              <w:fldChar w:fldCharType="begin"/>
            </w:r>
            <w:r w:rsidR="00771003">
              <w:rPr>
                <w:noProof/>
                <w:webHidden/>
              </w:rPr>
              <w:instrText xml:space="preserve"> PAGEREF _Toc151390526 \h </w:instrText>
            </w:r>
            <w:r w:rsidR="00771003">
              <w:rPr>
                <w:noProof/>
                <w:webHidden/>
              </w:rPr>
            </w:r>
            <w:r w:rsidR="00771003">
              <w:rPr>
                <w:noProof/>
                <w:webHidden/>
              </w:rPr>
              <w:fldChar w:fldCharType="separate"/>
            </w:r>
            <w:r w:rsidR="00661BA1">
              <w:rPr>
                <w:noProof/>
                <w:webHidden/>
              </w:rPr>
              <w:t>9</w:t>
            </w:r>
            <w:r w:rsidR="00771003">
              <w:rPr>
                <w:noProof/>
                <w:webHidden/>
              </w:rPr>
              <w:fldChar w:fldCharType="end"/>
            </w:r>
          </w:hyperlink>
        </w:p>
        <w:p w14:paraId="21A2EC52" w14:textId="77777777" w:rsidR="00E44B2C" w:rsidRDefault="00E44B2C" w:rsidP="00E44B2C">
          <w:r>
            <w:rPr>
              <w:b/>
              <w:bCs/>
              <w:noProof/>
              <w:lang w:val="en-US"/>
            </w:rPr>
            <w:fldChar w:fldCharType="end"/>
          </w:r>
        </w:p>
      </w:sdtContent>
    </w:sdt>
    <w:p w14:paraId="31A702DE" w14:textId="77777777" w:rsidR="00E44B2C" w:rsidRDefault="00E44B2C">
      <w:pPr>
        <w:spacing w:line="259" w:lineRule="auto"/>
        <w:rPr>
          <w:rFonts w:eastAsiaTheme="majorEastAsia" w:cstheme="majorBidi"/>
          <w:color w:val="A70240"/>
          <w:sz w:val="36"/>
          <w:szCs w:val="32"/>
        </w:rPr>
      </w:pPr>
      <w:r>
        <w:br w:type="page"/>
      </w:r>
    </w:p>
    <w:p w14:paraId="08354339" w14:textId="77777777" w:rsidR="00E44B2C" w:rsidRPr="00EC0BBD" w:rsidRDefault="00E44B2C" w:rsidP="00E44B2C">
      <w:pPr>
        <w:pStyle w:val="Heading1"/>
        <w:rPr>
          <w:rFonts w:eastAsia="Arial"/>
          <w:lang w:bidi="en-AU"/>
        </w:rPr>
      </w:pPr>
      <w:bookmarkStart w:id="0" w:name="_Toc6307265"/>
      <w:bookmarkStart w:id="1" w:name="_Toc27474540"/>
      <w:bookmarkStart w:id="2" w:name="_Toc151390519"/>
      <w:r w:rsidRPr="00EC0BBD">
        <w:rPr>
          <w:rFonts w:eastAsia="Arial"/>
          <w:lang w:bidi="en-AU"/>
        </w:rPr>
        <w:t>Introduction</w:t>
      </w:r>
      <w:bookmarkEnd w:id="0"/>
      <w:bookmarkEnd w:id="1"/>
      <w:bookmarkEnd w:id="2"/>
    </w:p>
    <w:p w14:paraId="7E6088F8" w14:textId="13668A70" w:rsidR="00E44B2C" w:rsidRPr="00EC0BBD" w:rsidRDefault="00E44B2C" w:rsidP="00E44B2C">
      <w:pPr>
        <w:rPr>
          <w:rFonts w:eastAsia="Arial"/>
          <w:lang w:eastAsia="en-AU" w:bidi="en-AU"/>
        </w:rPr>
      </w:pPr>
      <w:r w:rsidRPr="00EC0BBD">
        <w:rPr>
          <w:rFonts w:eastAsia="Arial"/>
          <w:lang w:eastAsia="en-AU" w:bidi="en-AU"/>
        </w:rPr>
        <w:t xml:space="preserve">Increasing diversity </w:t>
      </w:r>
      <w:r>
        <w:rPr>
          <w:rFonts w:eastAsia="Arial"/>
          <w:lang w:eastAsia="en-AU" w:bidi="en-AU"/>
        </w:rPr>
        <w:t>in</w:t>
      </w:r>
      <w:r w:rsidRPr="00EC0BBD">
        <w:rPr>
          <w:rFonts w:eastAsia="Arial"/>
          <w:lang w:eastAsia="en-AU" w:bidi="en-AU"/>
        </w:rPr>
        <w:t xml:space="preserve"> supply arrangements aligns with the policies and principles outlined in the </w:t>
      </w:r>
      <w:hyperlink r:id="rId12" w:history="1">
        <w:r w:rsidRPr="00E8004A">
          <w:rPr>
            <w:rStyle w:val="Hyperlink"/>
          </w:rPr>
          <w:t>Queensland Procurement Policy</w:t>
        </w:r>
        <w:r w:rsidRPr="007259BB">
          <w:rPr>
            <w:rStyle w:val="Hyperlink"/>
            <w:rFonts w:eastAsia="Arial"/>
            <w:lang w:eastAsia="en-AU" w:bidi="en-AU"/>
          </w:rPr>
          <w:t xml:space="preserve"> </w:t>
        </w:r>
        <w:r w:rsidR="002F2A04" w:rsidRPr="007259BB">
          <w:rPr>
            <w:rStyle w:val="Hyperlink"/>
            <w:rFonts w:eastAsia="Arial"/>
            <w:lang w:eastAsia="en-AU" w:bidi="en-AU"/>
          </w:rPr>
          <w:t>2023</w:t>
        </w:r>
      </w:hyperlink>
      <w:r w:rsidR="002F2A04">
        <w:rPr>
          <w:rFonts w:eastAsia="Arial"/>
          <w:lang w:eastAsia="en-AU" w:bidi="en-AU"/>
        </w:rPr>
        <w:t xml:space="preserve"> </w:t>
      </w:r>
      <w:r w:rsidRPr="00EC0BBD">
        <w:rPr>
          <w:rFonts w:eastAsia="Arial"/>
          <w:lang w:eastAsia="en-AU" w:bidi="en-AU"/>
        </w:rPr>
        <w:t>(QPP)</w:t>
      </w:r>
      <w:r>
        <w:rPr>
          <w:rFonts w:eastAsia="Arial"/>
          <w:lang w:eastAsia="en-AU" w:bidi="en-AU"/>
        </w:rPr>
        <w:t>, s</w:t>
      </w:r>
      <w:r w:rsidRPr="00EC0BBD">
        <w:rPr>
          <w:rFonts w:eastAsia="Arial"/>
          <w:lang w:eastAsia="en-AU" w:bidi="en-AU"/>
        </w:rPr>
        <w:t>upport</w:t>
      </w:r>
      <w:r>
        <w:rPr>
          <w:rFonts w:eastAsia="Arial"/>
          <w:lang w:eastAsia="en-AU" w:bidi="en-AU"/>
        </w:rPr>
        <w:t xml:space="preserve">ing </w:t>
      </w:r>
      <w:r w:rsidRPr="00EC0BBD">
        <w:rPr>
          <w:rFonts w:eastAsia="Arial"/>
          <w:lang w:eastAsia="en-AU" w:bidi="en-AU"/>
        </w:rPr>
        <w:t>social outcomes for Queensland communities. By leveraging even small amounts of government’s spend to add social value, communities and suppliers across the state can benefit enormously.</w:t>
      </w:r>
    </w:p>
    <w:p w14:paraId="58737E54" w14:textId="77777777" w:rsidR="00E44B2C" w:rsidRPr="00EC0BBD" w:rsidRDefault="00E44B2C" w:rsidP="003D15D0">
      <w:pPr>
        <w:rPr>
          <w:lang w:eastAsia="en-AU" w:bidi="en-AU"/>
        </w:rPr>
      </w:pPr>
      <w:bookmarkStart w:id="3" w:name="_Hlk534791139"/>
      <w:bookmarkStart w:id="4" w:name="_Hlk6237671"/>
      <w:r>
        <w:rPr>
          <w:lang w:eastAsia="en-AU" w:bidi="en-AU"/>
        </w:rPr>
        <w:t>For the purposes of this guide, ‘</w:t>
      </w:r>
      <w:r w:rsidRPr="00EC0BBD">
        <w:rPr>
          <w:lang w:eastAsia="en-AU" w:bidi="en-AU"/>
        </w:rPr>
        <w:t>supply arrangements</w:t>
      </w:r>
      <w:bookmarkEnd w:id="3"/>
      <w:r>
        <w:rPr>
          <w:lang w:eastAsia="en-AU" w:bidi="en-AU"/>
        </w:rPr>
        <w:t>’</w:t>
      </w:r>
      <w:r w:rsidRPr="00EC0BBD">
        <w:rPr>
          <w:lang w:eastAsia="en-AU" w:bidi="en-AU"/>
        </w:rPr>
        <w:t xml:space="preserve"> </w:t>
      </w:r>
      <w:bookmarkEnd w:id="4"/>
      <w:r w:rsidRPr="00EC0BBD">
        <w:rPr>
          <w:lang w:eastAsia="en-AU" w:bidi="en-AU"/>
        </w:rPr>
        <w:t xml:space="preserve">include standing offer arrangements (SOA), registers of pre-qualified suppliers, panel arrangements or preferred supplier arrangements. </w:t>
      </w:r>
    </w:p>
    <w:p w14:paraId="61C231DB" w14:textId="77777777" w:rsidR="00E44B2C" w:rsidRPr="00EC0BBD" w:rsidRDefault="00E44B2C">
      <w:pPr>
        <w:rPr>
          <w:lang w:eastAsia="en-AU" w:bidi="en-AU"/>
        </w:rPr>
      </w:pPr>
      <w:r w:rsidRPr="00EC0BBD">
        <w:rPr>
          <w:lang w:eastAsia="en-AU" w:bidi="en-AU"/>
        </w:rPr>
        <w:t xml:space="preserve">This document is primarily concerned with process and practice associated with establishing and reviewing supply arrangements. </w:t>
      </w:r>
      <w:r>
        <w:rPr>
          <w:lang w:eastAsia="en-AU" w:bidi="en-AU"/>
        </w:rPr>
        <w:t>I</w:t>
      </w:r>
      <w:r w:rsidRPr="00EC0BBD">
        <w:rPr>
          <w:lang w:eastAsia="en-AU" w:bidi="en-AU"/>
        </w:rPr>
        <w:t xml:space="preserve">t will help government buyers using those arrangements to deliver on the government’s commitment to consider social value in procurement. </w:t>
      </w:r>
    </w:p>
    <w:p w14:paraId="71FF9A7D" w14:textId="77777777" w:rsidR="00E44B2C" w:rsidRPr="004C6E45" w:rsidRDefault="00E44B2C" w:rsidP="00E44B2C">
      <w:pPr>
        <w:rPr>
          <w:rFonts w:eastAsia="Arial"/>
          <w:lang w:eastAsia="en-AU" w:bidi="en-AU"/>
        </w:rPr>
      </w:pPr>
      <w:r w:rsidRPr="00EC0BBD">
        <w:rPr>
          <w:rFonts w:eastAsia="Arial"/>
          <w:lang w:eastAsia="en-AU" w:bidi="en-AU"/>
        </w:rPr>
        <w:t>It complemen</w:t>
      </w:r>
      <w:r w:rsidRPr="004C6E45">
        <w:rPr>
          <w:rFonts w:eastAsia="Arial"/>
          <w:lang w:eastAsia="en-AU" w:bidi="en-AU"/>
        </w:rPr>
        <w:t>ts a range of other materials supporting government objectives, including:</w:t>
      </w:r>
    </w:p>
    <w:p w14:paraId="75D697E1" w14:textId="77777777" w:rsidR="00E44B2C" w:rsidRPr="004C6E45" w:rsidRDefault="00E44B2C" w:rsidP="00E44B2C">
      <w:pPr>
        <w:pStyle w:val="ListParagraph"/>
        <w:numPr>
          <w:ilvl w:val="0"/>
          <w:numId w:val="10"/>
        </w:numPr>
        <w:spacing w:before="120" w:line="264" w:lineRule="auto"/>
        <w:contextualSpacing/>
        <w:rPr>
          <w:rStyle w:val="Hyperlink"/>
          <w:rFonts w:eastAsia="Arial" w:cs="Arial"/>
          <w:lang w:val="en" w:eastAsia="en-AU" w:bidi="en-AU"/>
        </w:rPr>
      </w:pPr>
      <w:r w:rsidRPr="004C6E45">
        <w:rPr>
          <w:rFonts w:eastAsia="Arial"/>
          <w:lang w:val="en" w:eastAsia="en-AU" w:bidi="en-AU"/>
        </w:rPr>
        <w:fldChar w:fldCharType="begin"/>
      </w:r>
      <w:r w:rsidRPr="004C6E45">
        <w:rPr>
          <w:rFonts w:eastAsia="Arial"/>
          <w:lang w:val="en" w:eastAsia="en-AU" w:bidi="en-AU"/>
        </w:rPr>
        <w:instrText>HYPERLINK "https://www.forgov.qld.gov.au/social-procurement-frequently-asked-questions"</w:instrText>
      </w:r>
      <w:r w:rsidRPr="004C6E45">
        <w:rPr>
          <w:rFonts w:eastAsia="Arial"/>
          <w:lang w:val="en" w:eastAsia="en-AU" w:bidi="en-AU"/>
        </w:rPr>
      </w:r>
      <w:r w:rsidRPr="004C6E45">
        <w:rPr>
          <w:rFonts w:eastAsia="Arial"/>
          <w:lang w:val="en" w:eastAsia="en-AU" w:bidi="en-AU"/>
        </w:rPr>
        <w:fldChar w:fldCharType="separate"/>
      </w:r>
      <w:r w:rsidRPr="004C6E45">
        <w:rPr>
          <w:rFonts w:eastAsia="Arial"/>
          <w:i/>
          <w:iCs/>
          <w:lang w:val="en" w:eastAsia="en-AU" w:bidi="en-AU"/>
        </w:rPr>
        <w:t>Frequently asked questions</w:t>
      </w:r>
      <w:r w:rsidRPr="004C6E45">
        <w:rPr>
          <w:rStyle w:val="FootnoteReference"/>
          <w:rFonts w:eastAsia="Arial" w:cs="Arial"/>
          <w:szCs w:val="20"/>
          <w:u w:val="single"/>
          <w:lang w:val="en" w:eastAsia="en-AU" w:bidi="en-AU"/>
        </w:rPr>
        <w:footnoteReference w:id="1"/>
      </w:r>
      <w:r w:rsidRPr="004C6E45">
        <w:rPr>
          <w:rStyle w:val="Hyperlink"/>
          <w:rFonts w:eastAsia="Arial" w:cs="Arial"/>
          <w:szCs w:val="20"/>
          <w:lang w:val="en" w:eastAsia="en-AU" w:bidi="en-AU"/>
        </w:rPr>
        <w:t xml:space="preserve">  </w:t>
      </w:r>
    </w:p>
    <w:p w14:paraId="448D9749" w14:textId="77777777" w:rsidR="00E44B2C" w:rsidRPr="00D04665" w:rsidRDefault="00E44B2C" w:rsidP="00E44B2C">
      <w:pPr>
        <w:pStyle w:val="ListParagraph"/>
        <w:numPr>
          <w:ilvl w:val="0"/>
          <w:numId w:val="10"/>
        </w:numPr>
        <w:spacing w:before="120" w:line="264" w:lineRule="auto"/>
        <w:contextualSpacing/>
        <w:rPr>
          <w:rFonts w:eastAsia="Arial"/>
          <w:lang w:val="en" w:eastAsia="en-AU" w:bidi="en-AU"/>
        </w:rPr>
      </w:pPr>
      <w:r w:rsidRPr="004C6E45">
        <w:rPr>
          <w:rFonts w:eastAsia="Arial"/>
          <w:lang w:val="en" w:eastAsia="en-AU" w:bidi="en-AU"/>
        </w:rPr>
        <w:fldChar w:fldCharType="end"/>
      </w:r>
      <w:hyperlink r:id="rId13" w:history="1">
        <w:r w:rsidRPr="00D04665">
          <w:rPr>
            <w:rFonts w:eastAsia="Arial"/>
            <w:i/>
            <w:iCs/>
            <w:lang w:val="en" w:eastAsia="en-AU" w:bidi="en-AU"/>
          </w:rPr>
          <w:t>Social procurement guide</w:t>
        </w:r>
      </w:hyperlink>
      <w:r w:rsidRPr="00D04665">
        <w:rPr>
          <w:rStyle w:val="FootnoteReference"/>
          <w:rFonts w:eastAsia="Arial" w:cs="Arial"/>
          <w:lang w:val="en" w:eastAsia="en-AU" w:bidi="en-AU"/>
        </w:rPr>
        <w:footnoteReference w:id="2"/>
      </w:r>
    </w:p>
    <w:p w14:paraId="06F1B1CD" w14:textId="77777777" w:rsidR="00E44B2C" w:rsidRPr="00D04665" w:rsidRDefault="007E1A13" w:rsidP="00E44B2C">
      <w:pPr>
        <w:pStyle w:val="ListParagraph"/>
        <w:numPr>
          <w:ilvl w:val="0"/>
          <w:numId w:val="10"/>
        </w:numPr>
        <w:spacing w:before="120" w:line="264" w:lineRule="auto"/>
        <w:contextualSpacing/>
        <w:rPr>
          <w:rFonts w:eastAsia="Arial"/>
          <w:lang w:val="en" w:eastAsia="en-AU" w:bidi="en-AU"/>
        </w:rPr>
      </w:pPr>
      <w:hyperlink r:id="rId14" w:history="1">
        <w:r w:rsidR="00E44B2C" w:rsidRPr="00D04665">
          <w:rPr>
            <w:rFonts w:eastAsia="Arial"/>
            <w:i/>
            <w:iCs/>
            <w:lang w:val="en" w:eastAsia="en-AU" w:bidi="en-AU"/>
          </w:rPr>
          <w:t>Social procurement clauses</w:t>
        </w:r>
        <w:r w:rsidR="00E44B2C" w:rsidRPr="00D04665">
          <w:rPr>
            <w:rFonts w:eastAsia="Arial"/>
            <w:lang w:val="en" w:eastAsia="en-AU" w:bidi="en-AU"/>
          </w:rPr>
          <w:t xml:space="preserve"> - example clauses for tenders and contracts</w:t>
        </w:r>
      </w:hyperlink>
      <w:r w:rsidR="00E44B2C" w:rsidRPr="00D04665">
        <w:rPr>
          <w:rStyle w:val="FootnoteReference"/>
          <w:rFonts w:eastAsia="Arial" w:cs="Arial"/>
          <w:lang w:val="en" w:eastAsia="en-AU" w:bidi="en-AU"/>
        </w:rPr>
        <w:footnoteReference w:id="3"/>
      </w:r>
    </w:p>
    <w:p w14:paraId="013EB6A1" w14:textId="77777777" w:rsidR="00E44B2C" w:rsidRPr="00D04665" w:rsidRDefault="007E1A13" w:rsidP="00E44B2C">
      <w:pPr>
        <w:pStyle w:val="ListParagraph"/>
        <w:numPr>
          <w:ilvl w:val="0"/>
          <w:numId w:val="10"/>
        </w:numPr>
        <w:spacing w:before="120" w:line="264" w:lineRule="auto"/>
        <w:contextualSpacing/>
        <w:rPr>
          <w:rFonts w:eastAsia="Arial"/>
          <w:lang w:val="en" w:eastAsia="en-AU" w:bidi="en-AU"/>
        </w:rPr>
      </w:pPr>
      <w:hyperlink r:id="rId15" w:history="1">
        <w:r w:rsidR="00E44B2C" w:rsidRPr="00D04665">
          <w:rPr>
            <w:rFonts w:eastAsia="Arial"/>
            <w:i/>
            <w:iCs/>
            <w:lang w:val="en" w:eastAsia="en-AU" w:bidi="en-AU"/>
          </w:rPr>
          <w:t>Integrating sustainability into the procurement process</w:t>
        </w:r>
      </w:hyperlink>
      <w:r w:rsidR="00E44B2C" w:rsidRPr="00D04665">
        <w:rPr>
          <w:rStyle w:val="FootnoteReference"/>
          <w:rFonts w:eastAsia="Arial" w:cs="Arial"/>
          <w:lang w:val="en" w:eastAsia="en-AU" w:bidi="en-AU"/>
        </w:rPr>
        <w:footnoteReference w:id="4"/>
      </w:r>
    </w:p>
    <w:p w14:paraId="5DF0F7F5" w14:textId="77777777" w:rsidR="00E44B2C" w:rsidRPr="00D04665" w:rsidRDefault="007E1A13" w:rsidP="00E44B2C">
      <w:pPr>
        <w:pStyle w:val="ListParagraph"/>
        <w:numPr>
          <w:ilvl w:val="0"/>
          <w:numId w:val="10"/>
        </w:numPr>
        <w:spacing w:before="120" w:line="264" w:lineRule="auto"/>
        <w:contextualSpacing/>
        <w:rPr>
          <w:rFonts w:eastAsia="Arial"/>
          <w:lang w:val="en" w:eastAsia="en-AU" w:bidi="en-AU"/>
        </w:rPr>
      </w:pPr>
      <w:hyperlink r:id="rId16" w:history="1">
        <w:r w:rsidR="00E44B2C" w:rsidRPr="00D04665">
          <w:rPr>
            <w:rFonts w:eastAsia="Arial"/>
            <w:i/>
            <w:iCs/>
            <w:lang w:val="en" w:eastAsia="en-AU" w:bidi="en-AU"/>
          </w:rPr>
          <w:t xml:space="preserve">Ending </w:t>
        </w:r>
        <w:r w:rsidR="00E44B2C">
          <w:rPr>
            <w:rFonts w:eastAsia="Arial"/>
            <w:i/>
            <w:iCs/>
            <w:lang w:val="en" w:eastAsia="en-AU" w:bidi="en-AU"/>
          </w:rPr>
          <w:t>d</w:t>
        </w:r>
        <w:r w:rsidR="00E44B2C" w:rsidRPr="00D04665">
          <w:rPr>
            <w:rFonts w:eastAsia="Arial"/>
            <w:i/>
            <w:iCs/>
            <w:lang w:val="en" w:eastAsia="en-AU" w:bidi="en-AU"/>
          </w:rPr>
          <w:t xml:space="preserve">omestic and </w:t>
        </w:r>
        <w:r w:rsidR="00E44B2C">
          <w:rPr>
            <w:rFonts w:eastAsia="Arial"/>
            <w:i/>
            <w:iCs/>
            <w:lang w:val="en" w:eastAsia="en-AU" w:bidi="en-AU"/>
          </w:rPr>
          <w:t>f</w:t>
        </w:r>
        <w:r w:rsidR="00E44B2C" w:rsidRPr="00D04665">
          <w:rPr>
            <w:rFonts w:eastAsia="Arial"/>
            <w:i/>
            <w:iCs/>
            <w:lang w:val="en" w:eastAsia="en-AU" w:bidi="en-AU"/>
          </w:rPr>
          <w:t xml:space="preserve">amily </w:t>
        </w:r>
        <w:r w:rsidR="00E44B2C">
          <w:rPr>
            <w:rFonts w:eastAsia="Arial"/>
            <w:i/>
            <w:iCs/>
            <w:lang w:val="en" w:eastAsia="en-AU" w:bidi="en-AU"/>
          </w:rPr>
          <w:t>vi</w:t>
        </w:r>
        <w:r w:rsidR="00E44B2C" w:rsidRPr="00D04665">
          <w:rPr>
            <w:rFonts w:eastAsia="Arial"/>
            <w:i/>
            <w:iCs/>
            <w:lang w:val="en" w:eastAsia="en-AU" w:bidi="en-AU"/>
          </w:rPr>
          <w:t xml:space="preserve">olence - </w:t>
        </w:r>
        <w:r w:rsidR="00E44B2C">
          <w:rPr>
            <w:rFonts w:eastAsia="Arial"/>
            <w:i/>
            <w:iCs/>
            <w:lang w:val="en" w:eastAsia="en-AU" w:bidi="en-AU"/>
          </w:rPr>
          <w:t>g</w:t>
        </w:r>
        <w:r w:rsidR="00E44B2C" w:rsidRPr="00D04665">
          <w:rPr>
            <w:rFonts w:eastAsia="Arial"/>
            <w:i/>
            <w:iCs/>
            <w:lang w:val="en" w:eastAsia="en-AU" w:bidi="en-AU"/>
          </w:rPr>
          <w:t xml:space="preserve">uidance for </w:t>
        </w:r>
        <w:r w:rsidR="00E44B2C">
          <w:rPr>
            <w:rFonts w:eastAsia="Arial"/>
            <w:i/>
            <w:iCs/>
            <w:lang w:val="en" w:eastAsia="en-AU" w:bidi="en-AU"/>
          </w:rPr>
          <w:t>g</w:t>
        </w:r>
        <w:r w:rsidR="00E44B2C" w:rsidRPr="00D04665">
          <w:rPr>
            <w:rFonts w:eastAsia="Arial"/>
            <w:i/>
            <w:iCs/>
            <w:lang w:val="en" w:eastAsia="en-AU" w:bidi="en-AU"/>
          </w:rPr>
          <w:t xml:space="preserve">overnment </w:t>
        </w:r>
        <w:r w:rsidR="00E44B2C">
          <w:rPr>
            <w:rFonts w:eastAsia="Arial"/>
            <w:i/>
            <w:iCs/>
            <w:lang w:val="en" w:eastAsia="en-AU" w:bidi="en-AU"/>
          </w:rPr>
          <w:t>b</w:t>
        </w:r>
        <w:r w:rsidR="00E44B2C" w:rsidRPr="00D04665">
          <w:rPr>
            <w:rFonts w:eastAsia="Arial"/>
            <w:i/>
            <w:iCs/>
            <w:lang w:val="en" w:eastAsia="en-AU" w:bidi="en-AU"/>
          </w:rPr>
          <w:t>uyers</w:t>
        </w:r>
        <w:r w:rsidR="00E44B2C" w:rsidRPr="00D04665">
          <w:rPr>
            <w:rStyle w:val="FootnoteReference"/>
            <w:rFonts w:eastAsia="Arial" w:cs="Arial"/>
            <w:u w:val="single"/>
            <w:lang w:val="en" w:eastAsia="en-AU" w:bidi="en-AU"/>
          </w:rPr>
          <w:footnoteReference w:id="5"/>
        </w:r>
        <w:r w:rsidR="00E44B2C" w:rsidRPr="00D04665">
          <w:rPr>
            <w:rFonts w:eastAsia="Arial"/>
            <w:lang w:val="en" w:eastAsia="en-AU" w:bidi="en-AU"/>
          </w:rPr>
          <w:t xml:space="preserve"> </w:t>
        </w:r>
      </w:hyperlink>
    </w:p>
    <w:p w14:paraId="4AF00586" w14:textId="77777777" w:rsidR="00E44B2C" w:rsidRPr="00EC0BBD" w:rsidRDefault="00E44B2C" w:rsidP="00E44B2C">
      <w:pPr>
        <w:pStyle w:val="Heading1"/>
        <w:rPr>
          <w:rFonts w:eastAsia="Arial"/>
          <w:lang w:bidi="en-AU"/>
        </w:rPr>
      </w:pPr>
      <w:bookmarkStart w:id="5" w:name="_Toc6307266"/>
      <w:bookmarkStart w:id="6" w:name="_Toc27474541"/>
      <w:bookmarkStart w:id="7" w:name="_Toc151390520"/>
      <w:r w:rsidRPr="00EC0BBD">
        <w:rPr>
          <w:rFonts w:eastAsia="Arial"/>
          <w:lang w:bidi="en-AU"/>
        </w:rPr>
        <w:t xml:space="preserve">Policies, </w:t>
      </w:r>
      <w:r>
        <w:rPr>
          <w:rFonts w:eastAsia="Arial"/>
          <w:lang w:bidi="en-AU"/>
        </w:rPr>
        <w:t>p</w:t>
      </w:r>
      <w:r w:rsidRPr="00EC0BBD">
        <w:rPr>
          <w:rFonts w:eastAsia="Arial"/>
          <w:lang w:bidi="en-AU"/>
        </w:rPr>
        <w:t xml:space="preserve">rinciples and </w:t>
      </w:r>
      <w:r>
        <w:rPr>
          <w:rFonts w:eastAsia="Arial"/>
          <w:lang w:bidi="en-AU"/>
        </w:rPr>
        <w:t>c</w:t>
      </w:r>
      <w:r w:rsidRPr="00EC0BBD">
        <w:rPr>
          <w:rFonts w:eastAsia="Arial"/>
          <w:lang w:bidi="en-AU"/>
        </w:rPr>
        <w:t>ontext</w:t>
      </w:r>
      <w:bookmarkEnd w:id="5"/>
      <w:bookmarkEnd w:id="6"/>
      <w:bookmarkEnd w:id="7"/>
      <w:r w:rsidRPr="00EC0BBD">
        <w:rPr>
          <w:rFonts w:eastAsia="Arial"/>
          <w:lang w:bidi="en-AU"/>
        </w:rPr>
        <w:t xml:space="preserve"> </w:t>
      </w:r>
    </w:p>
    <w:p w14:paraId="7510C9DB" w14:textId="23E8BD71" w:rsidR="00E44B2C" w:rsidRPr="00D97B7A" w:rsidRDefault="00E44B2C" w:rsidP="00E44B2C">
      <w:pPr>
        <w:rPr>
          <w:rFonts w:eastAsia="Arial"/>
          <w:lang w:eastAsia="en-AU" w:bidi="en-AU"/>
        </w:rPr>
      </w:pPr>
      <w:r w:rsidRPr="00D97B7A">
        <w:rPr>
          <w:rFonts w:eastAsia="Arial"/>
          <w:lang w:eastAsia="en-AU" w:bidi="en-AU"/>
        </w:rPr>
        <w:t xml:space="preserve">Queensland Government has an ‘agency-led, centrally enabled’ procurement model. </w:t>
      </w:r>
      <w:r>
        <w:rPr>
          <w:rFonts w:eastAsia="Arial"/>
          <w:lang w:eastAsia="en-AU" w:bidi="en-AU"/>
        </w:rPr>
        <w:t>T</w:t>
      </w:r>
      <w:r w:rsidRPr="00D97B7A">
        <w:rPr>
          <w:rFonts w:eastAsia="Arial"/>
          <w:lang w:eastAsia="en-AU" w:bidi="en-AU"/>
        </w:rPr>
        <w:t xml:space="preserve">his means that each government agency is accountable for their own procurement, supported by </w:t>
      </w:r>
      <w:r w:rsidRPr="009E1AC4">
        <w:rPr>
          <w:rFonts w:eastAsia="Arial"/>
          <w:lang w:eastAsia="en-AU" w:bidi="en-AU"/>
        </w:rPr>
        <w:t xml:space="preserve">the </w:t>
      </w:r>
      <w:r w:rsidR="005032B7" w:rsidRPr="009E1AC4">
        <w:rPr>
          <w:rFonts w:eastAsia="Arial"/>
          <w:lang w:eastAsia="en-AU" w:bidi="en-AU"/>
        </w:rPr>
        <w:t>Queens</w:t>
      </w:r>
      <w:r w:rsidR="005032B7">
        <w:rPr>
          <w:rFonts w:eastAsia="Arial"/>
          <w:lang w:eastAsia="en-AU" w:bidi="en-AU"/>
        </w:rPr>
        <w:t xml:space="preserve">land Government </w:t>
      </w:r>
      <w:r w:rsidRPr="00D97B7A">
        <w:rPr>
          <w:rFonts w:eastAsia="Arial"/>
          <w:lang w:eastAsia="en-AU" w:bidi="en-AU"/>
        </w:rPr>
        <w:t>Procurement (for policy and guidance), and ‘lead’ agencies. All procurement activities must comply with the QPP, and departmental procedures and delegations.</w:t>
      </w:r>
    </w:p>
    <w:p w14:paraId="201CDF88" w14:textId="77777777" w:rsidR="00E44B2C" w:rsidRDefault="00E44B2C" w:rsidP="00E44B2C">
      <w:pPr>
        <w:rPr>
          <w:rFonts w:eastAsia="Arial"/>
          <w:lang w:eastAsia="en-AU" w:bidi="en-AU"/>
        </w:rPr>
      </w:pPr>
      <w:r w:rsidRPr="00D97B7A">
        <w:rPr>
          <w:rFonts w:eastAsia="Arial"/>
          <w:lang w:eastAsia="en-AU" w:bidi="en-AU"/>
        </w:rPr>
        <w:t>The Queensland</w:t>
      </w:r>
      <w:r w:rsidRPr="00EC0BBD">
        <w:rPr>
          <w:rFonts w:eastAsia="Arial"/>
          <w:lang w:eastAsia="en-AU" w:bidi="en-AU"/>
        </w:rPr>
        <w:t xml:space="preserve"> Government is committed to supporting </w:t>
      </w:r>
      <w:r>
        <w:rPr>
          <w:rFonts w:eastAsia="Arial"/>
          <w:lang w:eastAsia="en-AU" w:bidi="en-AU"/>
        </w:rPr>
        <w:t>diversity among its suppliers,</w:t>
      </w:r>
      <w:r w:rsidRPr="00EC0BBD">
        <w:rPr>
          <w:rFonts w:eastAsia="Arial"/>
          <w:lang w:eastAsia="en-AU" w:bidi="en-AU"/>
        </w:rPr>
        <w:t xml:space="preserve"> as described in the QPP and the </w:t>
      </w:r>
      <w:r w:rsidRPr="00D6658F">
        <w:rPr>
          <w:rFonts w:eastAsia="Arial"/>
          <w:i/>
          <w:iCs/>
          <w:lang w:eastAsia="en-AU" w:bidi="en-AU"/>
        </w:rPr>
        <w:t>Queensland Indigenous (Aboriginal and Torres Strait Islander) Procurement Policy</w:t>
      </w:r>
      <w:r w:rsidRPr="00E8004A">
        <w:rPr>
          <w:rFonts w:eastAsia="Arial"/>
          <w:i/>
          <w:iCs/>
          <w:lang w:eastAsia="en-AU" w:bidi="en-AU"/>
        </w:rPr>
        <w:t xml:space="preserve"> (</w:t>
      </w:r>
      <w:r w:rsidRPr="00EC0BBD">
        <w:rPr>
          <w:rFonts w:eastAsia="Arial"/>
          <w:lang w:eastAsia="en-AU" w:bidi="en-AU"/>
        </w:rPr>
        <w:t>QIPP).</w:t>
      </w:r>
    </w:p>
    <w:p w14:paraId="0EB81962" w14:textId="4165F350" w:rsidR="00E44B2C" w:rsidRPr="00EC0BBD" w:rsidRDefault="00E44B2C" w:rsidP="00E44B2C">
      <w:pPr>
        <w:rPr>
          <w:rFonts w:eastAsia="Arial"/>
          <w:lang w:eastAsia="en-AU" w:bidi="en-AU"/>
        </w:rPr>
      </w:pPr>
      <w:r w:rsidRPr="00EC0BBD">
        <w:rPr>
          <w:rFonts w:eastAsia="Arial"/>
          <w:lang w:eastAsia="en-AU" w:bidi="en-AU"/>
        </w:rPr>
        <w:t>Commitments aimed at diversifying the government’s supply chain include</w:t>
      </w:r>
      <w:r w:rsidR="00451FBC">
        <w:rPr>
          <w:rFonts w:eastAsia="Arial"/>
          <w:lang w:eastAsia="en-AU" w:bidi="en-AU"/>
        </w:rPr>
        <w:t xml:space="preserve"> increasing</w:t>
      </w:r>
      <w:r w:rsidRPr="00EC0BBD">
        <w:rPr>
          <w:rFonts w:eastAsia="Arial"/>
          <w:lang w:eastAsia="en-AU" w:bidi="en-AU"/>
        </w:rPr>
        <w:t>:</w:t>
      </w:r>
    </w:p>
    <w:p w14:paraId="47B28830" w14:textId="32B86753" w:rsidR="00E44B2C" w:rsidRPr="0032307A" w:rsidRDefault="00E44B2C" w:rsidP="00E44B2C">
      <w:pPr>
        <w:pStyle w:val="ListParagraph"/>
        <w:numPr>
          <w:ilvl w:val="0"/>
          <w:numId w:val="11"/>
        </w:numPr>
        <w:spacing w:before="120" w:line="264" w:lineRule="auto"/>
        <w:contextualSpacing/>
        <w:rPr>
          <w:rFonts w:eastAsia="Arial"/>
          <w:lang w:eastAsia="en-AU" w:bidi="en-AU"/>
        </w:rPr>
      </w:pPr>
      <w:r w:rsidRPr="0032307A">
        <w:rPr>
          <w:rFonts w:eastAsia="Arial"/>
          <w:lang w:eastAsia="en-AU" w:bidi="en-AU"/>
        </w:rPr>
        <w:t>spend with genuine, quality social enterprises, and</w:t>
      </w:r>
    </w:p>
    <w:p w14:paraId="271F6D22" w14:textId="2AA56877" w:rsidR="00E44B2C" w:rsidRPr="0032307A" w:rsidRDefault="00E44B2C" w:rsidP="00E44B2C">
      <w:pPr>
        <w:pStyle w:val="ListParagraph"/>
        <w:numPr>
          <w:ilvl w:val="0"/>
          <w:numId w:val="11"/>
        </w:numPr>
        <w:spacing w:before="120" w:line="264" w:lineRule="auto"/>
        <w:contextualSpacing/>
        <w:rPr>
          <w:rFonts w:eastAsia="Arial"/>
          <w:lang w:eastAsia="en-AU" w:bidi="en-AU"/>
        </w:rPr>
      </w:pPr>
      <w:r w:rsidRPr="0032307A">
        <w:rPr>
          <w:rFonts w:eastAsia="Arial"/>
          <w:lang w:eastAsia="en-AU" w:bidi="en-AU"/>
        </w:rPr>
        <w:t>government procurement with Aboriginal and</w:t>
      </w:r>
      <w:r w:rsidR="00D6658F">
        <w:rPr>
          <w:rFonts w:eastAsia="Arial"/>
          <w:lang w:eastAsia="en-AU" w:bidi="en-AU"/>
        </w:rPr>
        <w:t>/or</w:t>
      </w:r>
      <w:r w:rsidRPr="0032307A">
        <w:rPr>
          <w:rFonts w:eastAsia="Arial"/>
          <w:lang w:eastAsia="en-AU" w:bidi="en-AU"/>
        </w:rPr>
        <w:t xml:space="preserve"> Torres Strait Islander businesses to three per cent of addressable spend</w:t>
      </w:r>
      <w:r w:rsidR="00D6658F">
        <w:rPr>
          <w:rFonts w:eastAsia="Arial"/>
          <w:lang w:eastAsia="en-AU" w:bidi="en-AU"/>
        </w:rPr>
        <w:t>.</w:t>
      </w:r>
    </w:p>
    <w:p w14:paraId="7BAA8711" w14:textId="77777777" w:rsidR="00E44B2C" w:rsidRDefault="00E44B2C" w:rsidP="00E44B2C">
      <w:pPr>
        <w:rPr>
          <w:rFonts w:eastAsia="Arial"/>
          <w:lang w:eastAsia="en-AU" w:bidi="en-AU"/>
        </w:rPr>
      </w:pPr>
      <w:r w:rsidRPr="00EC0BBD">
        <w:rPr>
          <w:rFonts w:eastAsia="Arial"/>
          <w:lang w:eastAsia="en-AU" w:bidi="en-AU"/>
        </w:rPr>
        <w:t xml:space="preserve">Queensland Government procurement is organised </w:t>
      </w:r>
      <w:r w:rsidRPr="00D6658F">
        <w:rPr>
          <w:rFonts w:eastAsia="Arial"/>
          <w:lang w:eastAsia="en-AU" w:bidi="en-AU"/>
        </w:rPr>
        <w:t>into six categories of spending</w:t>
      </w:r>
      <w:r w:rsidRPr="00EC0BBD">
        <w:rPr>
          <w:rFonts w:eastAsia="Arial"/>
          <w:lang w:eastAsia="en-AU" w:bidi="en-AU"/>
        </w:rPr>
        <w:t xml:space="preserve">. Lead agencies </w:t>
      </w:r>
      <w:r>
        <w:rPr>
          <w:rFonts w:eastAsia="Arial"/>
          <w:lang w:eastAsia="en-AU" w:bidi="en-AU"/>
        </w:rPr>
        <w:t xml:space="preserve">for each category </w:t>
      </w:r>
      <w:r w:rsidRPr="00EC0BBD">
        <w:rPr>
          <w:rFonts w:eastAsia="Arial"/>
          <w:lang w:eastAsia="en-AU" w:bidi="en-AU"/>
        </w:rPr>
        <w:t xml:space="preserve">typically establish arrangements on behalf of the </w:t>
      </w:r>
      <w:r>
        <w:rPr>
          <w:rFonts w:eastAsia="Arial"/>
          <w:lang w:eastAsia="en-AU" w:bidi="en-AU"/>
        </w:rPr>
        <w:t>s</w:t>
      </w:r>
      <w:r w:rsidRPr="00EC0BBD">
        <w:rPr>
          <w:rFonts w:eastAsia="Arial"/>
          <w:lang w:eastAsia="en-AU" w:bidi="en-AU"/>
        </w:rPr>
        <w:t xml:space="preserve">tate, so that </w:t>
      </w:r>
      <w:r>
        <w:rPr>
          <w:rFonts w:eastAsia="Arial"/>
          <w:lang w:eastAsia="en-AU" w:bidi="en-AU"/>
        </w:rPr>
        <w:t xml:space="preserve">a number of agencies </w:t>
      </w:r>
      <w:r w:rsidRPr="00EC0BBD">
        <w:rPr>
          <w:rFonts w:eastAsia="Arial"/>
          <w:lang w:eastAsia="en-AU" w:bidi="en-AU"/>
        </w:rPr>
        <w:t>can easily access a contract that offers them value for money on frequently purchased goods and services.</w:t>
      </w:r>
      <w:r>
        <w:rPr>
          <w:rFonts w:eastAsia="Arial"/>
          <w:lang w:eastAsia="en-AU" w:bidi="en-AU"/>
        </w:rPr>
        <w:t xml:space="preserve"> </w:t>
      </w:r>
    </w:p>
    <w:p w14:paraId="580C8F96" w14:textId="77777777" w:rsidR="00E44B2C" w:rsidRDefault="00E44B2C" w:rsidP="00E44B2C">
      <w:pPr>
        <w:rPr>
          <w:rFonts w:eastAsia="Arial"/>
          <w:lang w:eastAsia="en-AU" w:bidi="en-AU"/>
        </w:rPr>
      </w:pPr>
      <w:r>
        <w:rPr>
          <w:rFonts w:eastAsia="Arial"/>
          <w:lang w:eastAsia="en-AU" w:bidi="en-AU"/>
        </w:rPr>
        <w:t>Embedding diversity on these arrangements enables agencies to more easily deliver social, environmental and economic value when buying for Queensland.</w:t>
      </w:r>
    </w:p>
    <w:p w14:paraId="74ED436F" w14:textId="77777777" w:rsidR="00E44B2C" w:rsidRPr="00EC0BBD" w:rsidRDefault="00E44B2C" w:rsidP="00E44B2C">
      <w:pPr>
        <w:pStyle w:val="Heading2"/>
        <w:spacing w:before="0"/>
      </w:pPr>
      <w:bookmarkStart w:id="8" w:name="_Toc6307267"/>
      <w:bookmarkStart w:id="9" w:name="_Toc27474542"/>
      <w:bookmarkStart w:id="10" w:name="_Toc151390521"/>
      <w:r w:rsidRPr="00EC0BBD">
        <w:t>Policy in practice</w:t>
      </w:r>
      <w:bookmarkEnd w:id="8"/>
      <w:bookmarkEnd w:id="9"/>
      <w:bookmarkEnd w:id="10"/>
    </w:p>
    <w:p w14:paraId="4D40E046" w14:textId="77777777" w:rsidR="00E44B2C" w:rsidRPr="001A1EA5" w:rsidRDefault="00E44B2C" w:rsidP="00E44B2C">
      <w:pPr>
        <w:rPr>
          <w:rFonts w:eastAsia="Arial"/>
          <w:lang w:eastAsia="en-AU" w:bidi="en-AU"/>
        </w:rPr>
      </w:pPr>
      <w:r>
        <w:rPr>
          <w:rFonts w:eastAsia="Arial"/>
          <w:lang w:eastAsia="en-AU" w:bidi="en-AU"/>
        </w:rPr>
        <w:t>E</w:t>
      </w:r>
      <w:r w:rsidRPr="001A1EA5">
        <w:rPr>
          <w:rFonts w:eastAsia="Arial"/>
          <w:lang w:eastAsia="en-AU" w:bidi="en-AU"/>
        </w:rPr>
        <w:t xml:space="preserve">mbedding </w:t>
      </w:r>
      <w:bookmarkStart w:id="11" w:name="_Hlk13651792"/>
      <w:r w:rsidRPr="001A1EA5">
        <w:rPr>
          <w:rFonts w:eastAsia="Arial"/>
          <w:lang w:eastAsia="en-AU" w:bidi="en-AU"/>
        </w:rPr>
        <w:t xml:space="preserve">diversity </w:t>
      </w:r>
      <w:r>
        <w:rPr>
          <w:rFonts w:eastAsia="Arial"/>
          <w:lang w:eastAsia="en-AU" w:bidi="en-AU"/>
        </w:rPr>
        <w:t xml:space="preserve">in </w:t>
      </w:r>
      <w:r w:rsidRPr="001A1EA5">
        <w:rPr>
          <w:rFonts w:eastAsia="Arial"/>
          <w:lang w:eastAsia="en-AU" w:bidi="en-AU"/>
        </w:rPr>
        <w:t>supply arrangements</w:t>
      </w:r>
      <w:bookmarkEnd w:id="11"/>
      <w:r w:rsidRPr="001A1EA5">
        <w:rPr>
          <w:rFonts w:eastAsia="Arial"/>
          <w:lang w:eastAsia="en-AU" w:bidi="en-AU"/>
        </w:rPr>
        <w:t xml:space="preserve"> aligns with the policies and principles within the QPP, enabling government buyers to more easily deliver social value when buying for Queensland. This might mean actively recruiting meritorious Aboriginal </w:t>
      </w:r>
      <w:r>
        <w:rPr>
          <w:rFonts w:eastAsia="Arial"/>
          <w:lang w:eastAsia="en-AU" w:bidi="en-AU"/>
        </w:rPr>
        <w:t xml:space="preserve">businesses </w:t>
      </w:r>
      <w:r w:rsidRPr="001A1EA5">
        <w:rPr>
          <w:rFonts w:eastAsia="Arial"/>
          <w:lang w:eastAsia="en-AU" w:bidi="en-AU"/>
        </w:rPr>
        <w:t>and</w:t>
      </w:r>
      <w:r>
        <w:rPr>
          <w:rFonts w:eastAsia="Arial"/>
          <w:lang w:eastAsia="en-AU" w:bidi="en-AU"/>
        </w:rPr>
        <w:t>/or</w:t>
      </w:r>
      <w:r w:rsidRPr="001A1EA5">
        <w:rPr>
          <w:rFonts w:eastAsia="Arial"/>
          <w:lang w:eastAsia="en-AU" w:bidi="en-AU"/>
        </w:rPr>
        <w:t xml:space="preserve"> Torres Strait Islander businesses</w:t>
      </w:r>
      <w:r>
        <w:rPr>
          <w:rFonts w:eastAsia="Arial"/>
          <w:lang w:eastAsia="en-AU" w:bidi="en-AU"/>
        </w:rPr>
        <w:t>, and</w:t>
      </w:r>
      <w:r w:rsidRPr="001A1EA5">
        <w:rPr>
          <w:rFonts w:eastAsia="Arial"/>
          <w:lang w:eastAsia="en-AU" w:bidi="en-AU"/>
        </w:rPr>
        <w:t xml:space="preserve"> social enterprises</w:t>
      </w:r>
      <w:r>
        <w:rPr>
          <w:rFonts w:eastAsia="Arial"/>
          <w:lang w:eastAsia="en-AU" w:bidi="en-AU"/>
        </w:rPr>
        <w:t xml:space="preserve"> who work with and support marginalised groups</w:t>
      </w:r>
      <w:r>
        <w:rPr>
          <w:rStyle w:val="FootnoteReference"/>
          <w:rFonts w:eastAsia="Arial"/>
          <w:lang w:eastAsia="en-AU" w:bidi="en-AU"/>
        </w:rPr>
        <w:footnoteReference w:id="6"/>
      </w:r>
      <w:r>
        <w:rPr>
          <w:rFonts w:eastAsia="Arial"/>
          <w:lang w:eastAsia="en-AU" w:bidi="en-AU"/>
        </w:rPr>
        <w:t xml:space="preserve">, </w:t>
      </w:r>
      <w:r w:rsidRPr="001A1EA5">
        <w:rPr>
          <w:rFonts w:eastAsia="Arial"/>
          <w:lang w:eastAsia="en-AU" w:bidi="en-AU"/>
        </w:rPr>
        <w:t>on standing offer arrangements (SOAs) or establishing registers of pre-qualified suppliers, which are typically larger and include a more diverse set of suppliers.</w:t>
      </w:r>
    </w:p>
    <w:p w14:paraId="4CE8CD72" w14:textId="7675C834" w:rsidR="00E44B2C" w:rsidRDefault="00E44B2C" w:rsidP="00E44B2C">
      <w:pPr>
        <w:rPr>
          <w:rFonts w:eastAsia="Arial"/>
          <w:lang w:eastAsia="en-AU" w:bidi="en-AU"/>
        </w:rPr>
      </w:pPr>
      <w:r w:rsidRPr="00FA6B00">
        <w:rPr>
          <w:rFonts w:eastAsia="Arial"/>
          <w:lang w:bidi="en-AU"/>
        </w:rPr>
        <w:t xml:space="preserve">Despite best efforts, initial diversification strategies when establishing arrangements can be ineffective. </w:t>
      </w:r>
      <w:r w:rsidRPr="001A1EA5">
        <w:rPr>
          <w:rFonts w:eastAsia="Arial"/>
          <w:lang w:eastAsia="en-AU" w:bidi="en-AU"/>
        </w:rPr>
        <w:t>There can be a lack of diverse suppliers tendering, or supplier capability may need further development before they are ready to undertake a government contract. The challenge is to build and embed diversity on arrangements that typically have multi-year terms and often have extension options.</w:t>
      </w:r>
    </w:p>
    <w:p w14:paraId="1A1E7D76" w14:textId="77777777" w:rsidR="00E44B2C" w:rsidRDefault="00E44B2C" w:rsidP="00E44B2C">
      <w:pPr>
        <w:rPr>
          <w:rFonts w:eastAsia="Arial"/>
          <w:lang w:eastAsia="en-AU" w:bidi="en-AU"/>
        </w:rPr>
      </w:pPr>
      <w:r w:rsidRPr="001A1EA5">
        <w:rPr>
          <w:rFonts w:eastAsia="Arial"/>
          <w:lang w:eastAsia="en-AU" w:bidi="en-AU"/>
        </w:rPr>
        <w:t xml:space="preserve">Currently, prospective suppliers who are made aware of arrangements part way through their term, or are unsuccessful in the initial tender, can be effectively ‘locked out’ of becoming a listed supplier until the arrangement is renewed. ‘Locking’ arrangements in this way is intended to protect the integrity of the original tender process, and the interests of the </w:t>
      </w:r>
      <w:r>
        <w:rPr>
          <w:rFonts w:eastAsia="Arial"/>
          <w:lang w:eastAsia="en-AU" w:bidi="en-AU"/>
        </w:rPr>
        <w:t xml:space="preserve">listed </w:t>
      </w:r>
      <w:r w:rsidRPr="001A1EA5">
        <w:rPr>
          <w:rFonts w:eastAsia="Arial"/>
          <w:lang w:eastAsia="en-AU" w:bidi="en-AU"/>
        </w:rPr>
        <w:t>suppliers</w:t>
      </w:r>
      <w:r>
        <w:rPr>
          <w:rFonts w:eastAsia="Arial"/>
          <w:lang w:eastAsia="en-AU" w:bidi="en-AU"/>
        </w:rPr>
        <w:t>. This</w:t>
      </w:r>
      <w:r w:rsidRPr="001A1EA5">
        <w:rPr>
          <w:rFonts w:eastAsia="Arial"/>
          <w:lang w:eastAsia="en-AU" w:bidi="en-AU"/>
        </w:rPr>
        <w:t xml:space="preserve"> can lead to longstanding ‘locked’ arrangements that lack diversity options for buyers.</w:t>
      </w:r>
    </w:p>
    <w:p w14:paraId="1EBFD2B0" w14:textId="3364399D" w:rsidR="00E44B2C" w:rsidRDefault="00E44B2C" w:rsidP="00E44B2C">
      <w:pPr>
        <w:rPr>
          <w:rFonts w:eastAsia="Arial"/>
          <w:lang w:eastAsia="en-AU" w:bidi="en-AU"/>
        </w:rPr>
      </w:pPr>
      <w:r w:rsidRPr="001A1EA5">
        <w:rPr>
          <w:rFonts w:eastAsia="Arial"/>
          <w:lang w:eastAsia="en-AU" w:bidi="en-AU"/>
        </w:rPr>
        <w:t xml:space="preserve">Arrangement managers should ensure that terms and conditions allow for </w:t>
      </w:r>
      <w:r>
        <w:rPr>
          <w:rFonts w:eastAsia="Arial"/>
          <w:lang w:eastAsia="en-AU" w:bidi="en-AU"/>
        </w:rPr>
        <w:t>increasing diversity during the life of the arrangement</w:t>
      </w:r>
      <w:r w:rsidRPr="001A1EA5">
        <w:rPr>
          <w:rFonts w:eastAsia="Arial"/>
          <w:lang w:eastAsia="en-AU" w:bidi="en-AU"/>
        </w:rPr>
        <w:t xml:space="preserve"> and consider any additional assessment requirements. Being clear about diversity objectives when setting up new arrangements provides clarity to the market about what they can expect and creates greater flexibility in managing and refreshing arrangements as needed.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016"/>
      </w:tblGrid>
      <w:tr w:rsidR="003D15D0" w14:paraId="20AED853" w14:textId="77777777" w:rsidTr="00AF3BE8">
        <w:tc>
          <w:tcPr>
            <w:tcW w:w="9016" w:type="dxa"/>
            <w:shd w:val="clear" w:color="auto" w:fill="D9D9D9" w:themeFill="background1" w:themeFillShade="D9"/>
          </w:tcPr>
          <w:p w14:paraId="6EADAA9C" w14:textId="77777777" w:rsidR="003D15D0" w:rsidRPr="00AF3BE8" w:rsidRDefault="003D15D0" w:rsidP="00AF3BE8">
            <w:pPr>
              <w:rPr>
                <w:b/>
                <w:bCs/>
              </w:rPr>
            </w:pPr>
            <w:r w:rsidRPr="00AF3BE8">
              <w:rPr>
                <w:b/>
                <w:bCs/>
                <w:szCs w:val="22"/>
              </w:rPr>
              <w:t>What can it look like?</w:t>
            </w:r>
          </w:p>
          <w:p w14:paraId="1777274C" w14:textId="77777777" w:rsidR="003D15D0" w:rsidRPr="00E83811" w:rsidRDefault="003D15D0" w:rsidP="003D15D0">
            <w:pPr>
              <w:pStyle w:val="BodyText"/>
              <w:rPr>
                <w:sz w:val="20"/>
                <w:szCs w:val="20"/>
              </w:rPr>
            </w:pPr>
            <w:r w:rsidRPr="00E83811">
              <w:rPr>
                <w:sz w:val="20"/>
                <w:szCs w:val="20"/>
              </w:rPr>
              <w:t xml:space="preserve">Work is already underway to create more diverse and inclusive arrangements when they are first established. For example: </w:t>
            </w:r>
          </w:p>
          <w:p w14:paraId="067E760B" w14:textId="2DD5957C" w:rsidR="003D15D0" w:rsidRPr="003D15D0" w:rsidRDefault="003D15D0" w:rsidP="00AF3BE8">
            <w:pPr>
              <w:pStyle w:val="BodyText"/>
              <w:widowControl w:val="0"/>
              <w:numPr>
                <w:ilvl w:val="0"/>
                <w:numId w:val="9"/>
              </w:numPr>
              <w:autoSpaceDE w:val="0"/>
              <w:autoSpaceDN w:val="0"/>
              <w:spacing w:after="0" w:line="240" w:lineRule="auto"/>
              <w:ind w:left="360"/>
              <w:rPr>
                <w:szCs w:val="20"/>
              </w:rPr>
            </w:pPr>
            <w:r w:rsidRPr="00E83811">
              <w:rPr>
                <w:sz w:val="20"/>
                <w:szCs w:val="20"/>
              </w:rPr>
              <w:t xml:space="preserve">The General Goods and Services category have supplier diversity targets in all their category plans. They also include specific supplier diversity objectives in their tendering for new arrangements and use this to ensure that the right mix of suppliers is appointed to a panel. </w:t>
            </w:r>
          </w:p>
          <w:p w14:paraId="114A2AC1" w14:textId="26A566D0" w:rsidR="003D15D0" w:rsidRPr="003D15D0" w:rsidRDefault="003D15D0" w:rsidP="00AF3BE8">
            <w:pPr>
              <w:pStyle w:val="ListParagraph"/>
              <w:widowControl w:val="0"/>
              <w:numPr>
                <w:ilvl w:val="0"/>
                <w:numId w:val="9"/>
              </w:numPr>
              <w:autoSpaceDE w:val="0"/>
              <w:autoSpaceDN w:val="0"/>
              <w:spacing w:after="0" w:line="240" w:lineRule="auto"/>
              <w:ind w:left="360"/>
              <w:rPr>
                <w:szCs w:val="20"/>
              </w:rPr>
            </w:pPr>
            <w:r w:rsidRPr="00E83811">
              <w:rPr>
                <w:szCs w:val="20"/>
              </w:rPr>
              <w:t>QBuild established a panel for landscape maintenance services. The panel includes a social enterprise. To inject greater diversity, QBuild provisionally approved five other small businesses, including an Aboriginal business or Torres Strait Islander business and two social enterprises. These businesses were able to prove their capacity and capability to deliver on requirements by doing some typical maintenance jobs, before being confirmed as ongoing members on the new arrangement</w:t>
            </w:r>
            <w:r w:rsidR="009C7BC5" w:rsidRPr="00E83811">
              <w:rPr>
                <w:szCs w:val="20"/>
              </w:rPr>
              <w:t xml:space="preserve">. </w:t>
            </w:r>
          </w:p>
          <w:p w14:paraId="39738B2C" w14:textId="77222350" w:rsidR="003D15D0" w:rsidRPr="00AF3BE8" w:rsidRDefault="003D15D0" w:rsidP="00AF3BE8">
            <w:pPr>
              <w:pStyle w:val="ListParagraph"/>
              <w:widowControl w:val="0"/>
              <w:numPr>
                <w:ilvl w:val="0"/>
                <w:numId w:val="9"/>
              </w:numPr>
              <w:autoSpaceDE w:val="0"/>
              <w:autoSpaceDN w:val="0"/>
              <w:spacing w:after="0" w:line="240" w:lineRule="auto"/>
              <w:ind w:left="360"/>
              <w:rPr>
                <w:szCs w:val="20"/>
              </w:rPr>
            </w:pPr>
            <w:r w:rsidRPr="00E83811">
              <w:rPr>
                <w:szCs w:val="20"/>
              </w:rPr>
              <w:t xml:space="preserve">General Goods and Services requires some Tier 1 firms to mentor social enterprises or Aboriginal businesses and Torres Strait Islander businesses as part of their obligations, to help uplift supplier capability. </w:t>
            </w:r>
          </w:p>
        </w:tc>
      </w:tr>
    </w:tbl>
    <w:p w14:paraId="5BDDDCE7" w14:textId="77777777" w:rsidR="003D15D0" w:rsidRDefault="003D15D0" w:rsidP="00E44B2C">
      <w:pPr>
        <w:rPr>
          <w:rFonts w:eastAsia="Arial"/>
          <w:lang w:eastAsia="en-AU" w:bidi="en-AU"/>
        </w:rPr>
      </w:pPr>
    </w:p>
    <w:p w14:paraId="3927B641" w14:textId="77777777" w:rsidR="00E44B2C" w:rsidRDefault="00E44B2C" w:rsidP="00E44B2C">
      <w:pPr>
        <w:rPr>
          <w:rFonts w:cs="Arial"/>
          <w:b/>
          <w:bCs/>
          <w:color w:val="A70236"/>
          <w:sz w:val="32"/>
          <w:szCs w:val="20"/>
          <w:lang w:eastAsia="en-AU"/>
        </w:rPr>
      </w:pPr>
      <w:r w:rsidRPr="002B66AD">
        <w:rPr>
          <w:rFonts w:eastAsia="Arial"/>
          <w:lang w:eastAsia="en-AU" w:bidi="en-AU"/>
        </w:rPr>
        <w:t>Many capable social enterprises</w:t>
      </w:r>
      <w:r>
        <w:rPr>
          <w:rFonts w:eastAsia="Arial"/>
          <w:lang w:eastAsia="en-AU" w:bidi="en-AU"/>
        </w:rPr>
        <w:t xml:space="preserve"> </w:t>
      </w:r>
      <w:r w:rsidRPr="002B66AD">
        <w:rPr>
          <w:rFonts w:eastAsia="Arial"/>
          <w:lang w:eastAsia="en-AU" w:bidi="en-AU"/>
        </w:rPr>
        <w:t xml:space="preserve">and Aboriginal </w:t>
      </w:r>
      <w:r>
        <w:rPr>
          <w:rFonts w:eastAsia="Arial"/>
          <w:lang w:eastAsia="en-AU" w:bidi="en-AU"/>
        </w:rPr>
        <w:t xml:space="preserve">businesses </w:t>
      </w:r>
      <w:r w:rsidRPr="002B66AD">
        <w:rPr>
          <w:rFonts w:eastAsia="Arial"/>
          <w:lang w:eastAsia="en-AU" w:bidi="en-AU"/>
        </w:rPr>
        <w:t>and</w:t>
      </w:r>
      <w:r>
        <w:rPr>
          <w:rFonts w:eastAsia="Arial"/>
          <w:lang w:eastAsia="en-AU" w:bidi="en-AU"/>
        </w:rPr>
        <w:t>/or</w:t>
      </w:r>
      <w:r w:rsidRPr="002B66AD">
        <w:rPr>
          <w:rFonts w:eastAsia="Arial"/>
          <w:lang w:eastAsia="en-AU" w:bidi="en-AU"/>
        </w:rPr>
        <w:t xml:space="preserve"> Torres Strait Islander businesses have little, or no exposure to government contracts. While there are a number of programs to help business understand how to tender for government opportunities, thinking about the best way to assess quality and capability can also have an impact. </w:t>
      </w:r>
    </w:p>
    <w:p w14:paraId="4387A831" w14:textId="77777777" w:rsidR="00E44B2C" w:rsidRDefault="00E44B2C" w:rsidP="00E44B2C">
      <w:pPr>
        <w:pStyle w:val="Heading1"/>
      </w:pPr>
      <w:bookmarkStart w:id="12" w:name="_Toc151390522"/>
      <w:r>
        <w:t>Considering diversity in each stage of the procurement process</w:t>
      </w:r>
      <w:bookmarkEnd w:id="12"/>
    </w:p>
    <w:p w14:paraId="464C2BB4" w14:textId="77777777" w:rsidR="00E44B2C" w:rsidRDefault="00E44B2C" w:rsidP="00E44B2C">
      <w:r w:rsidRPr="00393AD7">
        <w:t xml:space="preserve">The Queensland Government is committed to supporting diversity among its suppliers. </w:t>
      </w:r>
      <w:r>
        <w:t>Government buyers are encouraged to search the arrangement’s membership list to find suppliers that are a social enterprise, Aboriginal business and/or Torres Strait Islander business. If unsure if such a supplier is on the arrangement, please refer to the arrangement’s buyer’s guide or call the arrangement manager.</w:t>
      </w:r>
    </w:p>
    <w:p w14:paraId="7335724D" w14:textId="1BFDD8F4" w:rsidR="00E44B2C" w:rsidRDefault="00E44B2C" w:rsidP="00E44B2C">
      <w:r>
        <w:t>Table 1 documents the diversity considerations and potential actions buyers can implement in each stage of the procurement process, to ensure the government has diversity in its supply arrangements.</w:t>
      </w:r>
    </w:p>
    <w:p w14:paraId="3F42336A" w14:textId="27314177" w:rsidR="003D15D0" w:rsidRDefault="003D15D0" w:rsidP="00E44B2C">
      <w:pPr>
        <w:rPr>
          <w:rFonts w:eastAsia="Arial" w:cs="Arial"/>
          <w:b/>
          <w:lang w:eastAsia="en-AU" w:bidi="en-AU"/>
        </w:rPr>
      </w:pPr>
      <w:r w:rsidRPr="006A3F58">
        <w:rPr>
          <w:rFonts w:eastAsia="Arial" w:cs="Arial"/>
          <w:b/>
          <w:szCs w:val="20"/>
          <w:lang w:eastAsia="en-AU" w:bidi="en-AU"/>
        </w:rPr>
        <w:t>Table 1 – Diversity considerations during a procurement process</w:t>
      </w:r>
    </w:p>
    <w:tbl>
      <w:tblPr>
        <w:tblStyle w:val="TableGrid"/>
        <w:tblW w:w="9493" w:type="dxa"/>
        <w:tblLayout w:type="fixed"/>
        <w:tblLook w:val="04A0" w:firstRow="1" w:lastRow="0" w:firstColumn="1" w:lastColumn="0" w:noHBand="0" w:noVBand="1"/>
      </w:tblPr>
      <w:tblGrid>
        <w:gridCol w:w="1413"/>
        <w:gridCol w:w="3751"/>
        <w:gridCol w:w="4329"/>
      </w:tblGrid>
      <w:tr w:rsidR="009F742D" w14:paraId="58289A64" w14:textId="77777777" w:rsidTr="00AF3BE8">
        <w:trPr>
          <w:tblHeader/>
        </w:trPr>
        <w:tc>
          <w:tcPr>
            <w:tcW w:w="1413" w:type="dxa"/>
            <w:shd w:val="clear" w:color="auto" w:fill="A70240"/>
            <w:vAlign w:val="center"/>
          </w:tcPr>
          <w:p w14:paraId="534D4A98" w14:textId="509D33E4" w:rsidR="009F742D" w:rsidRPr="009F742D" w:rsidRDefault="009F742D" w:rsidP="009F742D">
            <w:r w:rsidRPr="009F742D">
              <w:rPr>
                <w:rFonts w:eastAsia="Arial" w:cs="Arial"/>
                <w:b/>
                <w:lang w:eastAsia="en-AU" w:bidi="en-AU"/>
              </w:rPr>
              <w:t>Stage</w:t>
            </w:r>
          </w:p>
        </w:tc>
        <w:tc>
          <w:tcPr>
            <w:tcW w:w="3751" w:type="dxa"/>
            <w:shd w:val="clear" w:color="auto" w:fill="A70240"/>
            <w:vAlign w:val="center"/>
          </w:tcPr>
          <w:p w14:paraId="57338F92" w14:textId="27A93AEA" w:rsidR="009F742D" w:rsidRDefault="009F742D" w:rsidP="009F742D">
            <w:r w:rsidRPr="00393AD7">
              <w:rPr>
                <w:rFonts w:eastAsia="Arial" w:cs="Arial"/>
                <w:b/>
                <w:szCs w:val="22"/>
                <w:lang w:eastAsia="en-AU" w:bidi="en-AU"/>
              </w:rPr>
              <w:t xml:space="preserve">Diversity </w:t>
            </w:r>
            <w:r>
              <w:rPr>
                <w:rFonts w:eastAsia="Arial" w:cs="Arial"/>
                <w:b/>
                <w:szCs w:val="22"/>
                <w:lang w:eastAsia="en-AU" w:bidi="en-AU"/>
              </w:rPr>
              <w:t>c</w:t>
            </w:r>
            <w:r w:rsidRPr="00393AD7">
              <w:rPr>
                <w:rFonts w:eastAsia="Arial" w:cs="Arial"/>
                <w:b/>
                <w:szCs w:val="22"/>
                <w:lang w:eastAsia="en-AU" w:bidi="en-AU"/>
              </w:rPr>
              <w:t>onsiderations</w:t>
            </w:r>
          </w:p>
        </w:tc>
        <w:tc>
          <w:tcPr>
            <w:tcW w:w="4329" w:type="dxa"/>
            <w:shd w:val="clear" w:color="auto" w:fill="A70240"/>
            <w:vAlign w:val="center"/>
          </w:tcPr>
          <w:p w14:paraId="7017B285" w14:textId="2245DDD4" w:rsidR="009F742D" w:rsidRDefault="009F742D" w:rsidP="009F742D">
            <w:r w:rsidRPr="00393AD7">
              <w:rPr>
                <w:rFonts w:eastAsia="Arial" w:cs="Arial"/>
                <w:b/>
                <w:szCs w:val="22"/>
                <w:lang w:eastAsia="en-AU" w:bidi="en-AU"/>
              </w:rPr>
              <w:t xml:space="preserve">Potential </w:t>
            </w:r>
            <w:r>
              <w:rPr>
                <w:rFonts w:eastAsia="Arial" w:cs="Arial"/>
                <w:b/>
                <w:szCs w:val="22"/>
                <w:lang w:eastAsia="en-AU" w:bidi="en-AU"/>
              </w:rPr>
              <w:t>a</w:t>
            </w:r>
            <w:r w:rsidRPr="00393AD7">
              <w:rPr>
                <w:rFonts w:eastAsia="Arial" w:cs="Arial"/>
                <w:b/>
                <w:szCs w:val="22"/>
                <w:lang w:eastAsia="en-AU" w:bidi="en-AU"/>
              </w:rPr>
              <w:t>ctions</w:t>
            </w:r>
          </w:p>
        </w:tc>
      </w:tr>
      <w:tr w:rsidR="008D3832" w14:paraId="5FAB5E81" w14:textId="77777777" w:rsidTr="00AF3BE8">
        <w:trPr>
          <w:cantSplit/>
          <w:trHeight w:val="1134"/>
        </w:trPr>
        <w:tc>
          <w:tcPr>
            <w:tcW w:w="1413" w:type="dxa"/>
            <w:shd w:val="clear" w:color="auto" w:fill="D9D9D9" w:themeFill="background1" w:themeFillShade="D9"/>
          </w:tcPr>
          <w:p w14:paraId="28B7D4C2" w14:textId="2ED082F0" w:rsidR="009F742D" w:rsidRPr="00AF3BE8" w:rsidRDefault="009F742D" w:rsidP="00AF3BE8">
            <w:pPr>
              <w:rPr>
                <w:b/>
                <w:bCs/>
              </w:rPr>
            </w:pPr>
            <w:r w:rsidRPr="00AF3BE8">
              <w:rPr>
                <w:b/>
                <w:bCs/>
              </w:rPr>
              <w:t>Planning</w:t>
            </w:r>
          </w:p>
        </w:tc>
        <w:tc>
          <w:tcPr>
            <w:tcW w:w="3751" w:type="dxa"/>
          </w:tcPr>
          <w:p w14:paraId="47C5B02C" w14:textId="77777777" w:rsidR="009F742D" w:rsidRPr="00D46C31" w:rsidRDefault="009F742D" w:rsidP="009F742D">
            <w:pPr>
              <w:pStyle w:val="ListParagraph"/>
              <w:numPr>
                <w:ilvl w:val="0"/>
                <w:numId w:val="16"/>
              </w:numPr>
              <w:spacing w:before="120" w:line="264" w:lineRule="auto"/>
              <w:ind w:hanging="249"/>
              <w:contextualSpacing/>
              <w:rPr>
                <w:szCs w:val="20"/>
              </w:rPr>
            </w:pPr>
            <w:r w:rsidRPr="00D46C31">
              <w:rPr>
                <w:szCs w:val="20"/>
              </w:rPr>
              <w:t>Being clear about diversity objectives when setting up new arrangements provides clarity to the market about what they can expect, but also creates greater flexibility in managing and refreshing arrangements over their terms.</w:t>
            </w:r>
          </w:p>
          <w:p w14:paraId="06045A2F" w14:textId="3265FB47" w:rsidR="009F742D" w:rsidRPr="00D46C31" w:rsidRDefault="009F742D" w:rsidP="009F742D">
            <w:pPr>
              <w:pStyle w:val="ListParagraph"/>
              <w:numPr>
                <w:ilvl w:val="0"/>
                <w:numId w:val="16"/>
              </w:numPr>
              <w:spacing w:before="120" w:line="264" w:lineRule="auto"/>
              <w:ind w:hanging="249"/>
              <w:contextualSpacing/>
              <w:rPr>
                <w:szCs w:val="20"/>
              </w:rPr>
            </w:pPr>
            <w:r w:rsidRPr="00D46C31">
              <w:rPr>
                <w:szCs w:val="20"/>
              </w:rPr>
              <w:t>Ensure your market analysis includes diverse supplier sectors to better understand the potential supply market</w:t>
            </w:r>
            <w:r w:rsidR="009C7BC5" w:rsidRPr="00D46C31">
              <w:rPr>
                <w:szCs w:val="20"/>
              </w:rPr>
              <w:t xml:space="preserve">. </w:t>
            </w:r>
          </w:p>
          <w:p w14:paraId="70047A83" w14:textId="77777777" w:rsidR="009F742D" w:rsidRPr="00D46C31" w:rsidRDefault="009F742D" w:rsidP="009F742D">
            <w:pPr>
              <w:pStyle w:val="ListParagraph"/>
              <w:numPr>
                <w:ilvl w:val="0"/>
                <w:numId w:val="16"/>
              </w:numPr>
              <w:spacing w:before="120" w:line="264" w:lineRule="auto"/>
              <w:ind w:hanging="249"/>
              <w:contextualSpacing/>
              <w:rPr>
                <w:szCs w:val="20"/>
              </w:rPr>
            </w:pPr>
            <w:r w:rsidRPr="00D46C31">
              <w:rPr>
                <w:szCs w:val="20"/>
              </w:rPr>
              <w:t xml:space="preserve">Consider the context of your procurement as different strategies will be applicable depending on the context and circumstances. </w:t>
            </w:r>
          </w:p>
          <w:p w14:paraId="2F69D591" w14:textId="777C0984" w:rsidR="009F742D" w:rsidRDefault="009F742D" w:rsidP="00AF3BE8">
            <w:pPr>
              <w:pStyle w:val="ListParagraph"/>
              <w:numPr>
                <w:ilvl w:val="0"/>
                <w:numId w:val="16"/>
              </w:numPr>
              <w:spacing w:before="120" w:line="264" w:lineRule="auto"/>
              <w:ind w:hanging="249"/>
              <w:contextualSpacing/>
            </w:pPr>
            <w:r w:rsidRPr="003D5E71">
              <w:rPr>
                <w:szCs w:val="20"/>
              </w:rPr>
              <w:t>Consider who the procurement is designed to benefit and whether there is an opportunity to include suppliers from within that community on the arrangement. For example, if the objective is to deliver products or services to communities with high Aboriginal and/or Torres Strait Islander populations, explore opportunities for capable Aboriginal and/or Torres Strait Islander businesses, that provide value for money products and/or services, to be included in the arrangement.</w:t>
            </w:r>
          </w:p>
        </w:tc>
        <w:tc>
          <w:tcPr>
            <w:tcW w:w="4329" w:type="dxa"/>
          </w:tcPr>
          <w:p w14:paraId="15112145" w14:textId="77777777" w:rsidR="009F742D" w:rsidRPr="00D46C31" w:rsidRDefault="009F742D" w:rsidP="009F742D">
            <w:pPr>
              <w:pStyle w:val="ListParagraph"/>
              <w:numPr>
                <w:ilvl w:val="0"/>
                <w:numId w:val="16"/>
              </w:numPr>
              <w:spacing w:before="120" w:line="264" w:lineRule="auto"/>
              <w:ind w:hanging="216"/>
              <w:contextualSpacing/>
              <w:rPr>
                <w:szCs w:val="20"/>
              </w:rPr>
            </w:pPr>
            <w:r w:rsidRPr="00D46C31">
              <w:rPr>
                <w:szCs w:val="20"/>
              </w:rPr>
              <w:t>Include diversity strategies in procurement plans.</w:t>
            </w:r>
          </w:p>
          <w:p w14:paraId="4D361AA6" w14:textId="77777777" w:rsidR="009F742D" w:rsidRPr="00E83811" w:rsidRDefault="009F742D" w:rsidP="009F742D">
            <w:pPr>
              <w:pStyle w:val="ListParagraph"/>
              <w:numPr>
                <w:ilvl w:val="0"/>
                <w:numId w:val="16"/>
              </w:numPr>
              <w:spacing w:before="120" w:line="264" w:lineRule="auto"/>
              <w:ind w:hanging="216"/>
              <w:contextualSpacing/>
              <w:rPr>
                <w:szCs w:val="20"/>
              </w:rPr>
            </w:pPr>
            <w:r w:rsidRPr="00E83811">
              <w:rPr>
                <w:szCs w:val="20"/>
              </w:rPr>
              <w:t xml:space="preserve">Future proof arrangements by including clauses in the invitation to offer (ITO) and the arrangement terms and conditions, to allow for suppliers that meet certain diversity criteria to be added during the term of the arrangement </w:t>
            </w:r>
            <w:r>
              <w:rPr>
                <w:szCs w:val="20"/>
              </w:rPr>
              <w:t>(</w:t>
            </w:r>
            <w:r w:rsidRPr="00E83811">
              <w:rPr>
                <w:szCs w:val="20"/>
              </w:rPr>
              <w:t>refer Appendix 1).</w:t>
            </w:r>
          </w:p>
          <w:p w14:paraId="2FA93031" w14:textId="5FF7EB91" w:rsidR="009F742D" w:rsidRPr="00D46C31" w:rsidRDefault="009F742D" w:rsidP="009F742D">
            <w:pPr>
              <w:pStyle w:val="ListParagraph"/>
              <w:numPr>
                <w:ilvl w:val="0"/>
                <w:numId w:val="16"/>
              </w:numPr>
              <w:spacing w:before="120" w:line="264" w:lineRule="auto"/>
              <w:ind w:hanging="216"/>
              <w:contextualSpacing/>
              <w:rPr>
                <w:szCs w:val="20"/>
              </w:rPr>
            </w:pPr>
            <w:r w:rsidRPr="00D46C31">
              <w:rPr>
                <w:szCs w:val="20"/>
              </w:rPr>
              <w:t xml:space="preserve">Research and engage the supply market early to ensure the groups you are targeting are aware of the upcoming opportunity and can be prepared to respond. This may include providing a copy of your forward procurement notice to the Aboriginal and Torres Strait Islander Chamber of Commerce and </w:t>
            </w:r>
            <w:r w:rsidR="006C1B5D">
              <w:rPr>
                <w:szCs w:val="20"/>
              </w:rPr>
              <w:t xml:space="preserve">the </w:t>
            </w:r>
            <w:hyperlink r:id="rId17" w:history="1">
              <w:r w:rsidRPr="007259BB">
                <w:rPr>
                  <w:rStyle w:val="Hyperlink"/>
                  <w:szCs w:val="20"/>
                </w:rPr>
                <w:t xml:space="preserve">Department of </w:t>
              </w:r>
              <w:r w:rsidR="002B6844" w:rsidRPr="007259BB">
                <w:rPr>
                  <w:rStyle w:val="Hyperlink"/>
                  <w:szCs w:val="20"/>
                </w:rPr>
                <w:t xml:space="preserve">Treaty, </w:t>
              </w:r>
              <w:r w:rsidRPr="007259BB">
                <w:rPr>
                  <w:rStyle w:val="Hyperlink"/>
                  <w:szCs w:val="20"/>
                </w:rPr>
                <w:t>Aboriginal and Torres Strait Islander Partnerships</w:t>
              </w:r>
              <w:r w:rsidR="002B6844" w:rsidRPr="007259BB">
                <w:rPr>
                  <w:rStyle w:val="Hyperlink"/>
                  <w:szCs w:val="20"/>
                </w:rPr>
                <w:t xml:space="preserve">, </w:t>
              </w:r>
              <w:r w:rsidR="007E4719" w:rsidRPr="007259BB">
                <w:rPr>
                  <w:rStyle w:val="Hyperlink"/>
                  <w:szCs w:val="20"/>
                </w:rPr>
                <w:t>Co</w:t>
              </w:r>
              <w:r w:rsidR="002B6844" w:rsidRPr="007259BB">
                <w:rPr>
                  <w:rStyle w:val="Hyperlink"/>
                  <w:szCs w:val="20"/>
                </w:rPr>
                <w:t>mmunity and the Arts</w:t>
              </w:r>
            </w:hyperlink>
            <w:r w:rsidR="007259BB">
              <w:rPr>
                <w:szCs w:val="20"/>
              </w:rPr>
              <w:t xml:space="preserve"> (DTASTSIPCA)</w:t>
            </w:r>
            <w:r w:rsidR="00496DCC">
              <w:rPr>
                <w:szCs w:val="20"/>
              </w:rPr>
              <w:t xml:space="preserve"> </w:t>
            </w:r>
            <w:r w:rsidR="003D264C" w:rsidRPr="009E1AC4">
              <w:rPr>
                <w:szCs w:val="20"/>
              </w:rPr>
              <w:t xml:space="preserve"> </w:t>
            </w:r>
            <w:r w:rsidRPr="009E1AC4">
              <w:rPr>
                <w:szCs w:val="20"/>
              </w:rPr>
              <w:t>to distrib</w:t>
            </w:r>
            <w:r w:rsidRPr="00D46C31">
              <w:rPr>
                <w:szCs w:val="20"/>
              </w:rPr>
              <w:t>ute, in addition to QTenders’ notice.</w:t>
            </w:r>
          </w:p>
          <w:p w14:paraId="08AA9222" w14:textId="77777777" w:rsidR="009F742D" w:rsidRDefault="009F742D" w:rsidP="009F742D">
            <w:pPr>
              <w:pStyle w:val="ListParagraph"/>
              <w:numPr>
                <w:ilvl w:val="0"/>
                <w:numId w:val="16"/>
              </w:numPr>
              <w:spacing w:before="120" w:line="264" w:lineRule="auto"/>
              <w:ind w:hanging="216"/>
              <w:contextualSpacing/>
              <w:rPr>
                <w:szCs w:val="20"/>
              </w:rPr>
            </w:pPr>
            <w:r w:rsidRPr="00D46C31">
              <w:rPr>
                <w:szCs w:val="20"/>
              </w:rPr>
              <w:t xml:space="preserve">If a number of diverse suppliers have been identified, consider whether there </w:t>
            </w:r>
          </w:p>
          <w:p w14:paraId="6B426635" w14:textId="45150C9E" w:rsidR="009F742D" w:rsidRPr="00D46C31" w:rsidRDefault="009F742D" w:rsidP="009F742D">
            <w:pPr>
              <w:pStyle w:val="ListParagraph"/>
              <w:ind w:left="360"/>
              <w:rPr>
                <w:szCs w:val="20"/>
              </w:rPr>
            </w:pPr>
            <w:r w:rsidRPr="00D46C31">
              <w:rPr>
                <w:szCs w:val="20"/>
              </w:rPr>
              <w:t xml:space="preserve">is sufficient justification to set aside places for social enterprises or Aboriginal and/or Torres Strait Islander </w:t>
            </w:r>
            <w:proofErr w:type="gramStart"/>
            <w:r w:rsidR="002B6844" w:rsidRPr="00D46C31">
              <w:rPr>
                <w:szCs w:val="20"/>
              </w:rPr>
              <w:t>suppliers</w:t>
            </w:r>
            <w:r w:rsidR="002B6844">
              <w:rPr>
                <w:szCs w:val="20"/>
              </w:rPr>
              <w:t>,</w:t>
            </w:r>
            <w:r w:rsidR="002B6844" w:rsidRPr="00D46C31">
              <w:rPr>
                <w:szCs w:val="20"/>
              </w:rPr>
              <w:t xml:space="preserve"> or</w:t>
            </w:r>
            <w:proofErr w:type="gramEnd"/>
            <w:r w:rsidRPr="00D46C31">
              <w:rPr>
                <w:szCs w:val="20"/>
              </w:rPr>
              <w:t xml:space="preserve"> structure the invitation to tender and the evaluation process to preference these supply groups, where they have demonstrated capability and value for money. </w:t>
            </w:r>
          </w:p>
          <w:p w14:paraId="0A32F345" w14:textId="552B3553" w:rsidR="009F742D" w:rsidRPr="009F742D" w:rsidRDefault="009F742D" w:rsidP="00AF3BE8">
            <w:pPr>
              <w:pStyle w:val="ListParagraph"/>
              <w:ind w:left="360"/>
            </w:pPr>
            <w:r w:rsidRPr="003D5E71">
              <w:t>Alternatively, consider how these supply groups might instead be given a provisional award (such as in the QBuild example on page 5), particularly where goods and services are to be delivered in Aboriginal and Torres Strait Islander communities.</w:t>
            </w:r>
          </w:p>
        </w:tc>
      </w:tr>
      <w:tr w:rsidR="008D3832" w14:paraId="22925905" w14:textId="77777777" w:rsidTr="00AF3BE8">
        <w:tc>
          <w:tcPr>
            <w:tcW w:w="1413" w:type="dxa"/>
            <w:shd w:val="clear" w:color="auto" w:fill="D9D9D9" w:themeFill="background1" w:themeFillShade="D9"/>
          </w:tcPr>
          <w:p w14:paraId="4C555CCB" w14:textId="6BB9A009" w:rsidR="009F742D" w:rsidRPr="00AF3BE8" w:rsidRDefault="009F742D">
            <w:pPr>
              <w:rPr>
                <w:b/>
                <w:bCs/>
              </w:rPr>
            </w:pPr>
            <w:r w:rsidRPr="00AF3BE8">
              <w:rPr>
                <w:b/>
                <w:bCs/>
              </w:rPr>
              <w:t>Planning (continue</w:t>
            </w:r>
            <w:r w:rsidR="008D3832">
              <w:rPr>
                <w:b/>
                <w:bCs/>
              </w:rPr>
              <w:t>d</w:t>
            </w:r>
            <w:r w:rsidRPr="00AF3BE8">
              <w:rPr>
                <w:b/>
                <w:bCs/>
              </w:rPr>
              <w:t>)</w:t>
            </w:r>
          </w:p>
        </w:tc>
        <w:tc>
          <w:tcPr>
            <w:tcW w:w="3751" w:type="dxa"/>
          </w:tcPr>
          <w:p w14:paraId="055C5DE1" w14:textId="77777777" w:rsidR="009F742D" w:rsidRPr="00D46C31" w:rsidRDefault="009F742D" w:rsidP="00AF3BE8">
            <w:pPr>
              <w:numPr>
                <w:ilvl w:val="0"/>
                <w:numId w:val="18"/>
              </w:numPr>
              <w:spacing w:before="120" w:after="120" w:line="264" w:lineRule="auto"/>
              <w:ind w:left="487"/>
              <w:contextualSpacing/>
              <w:rPr>
                <w:szCs w:val="20"/>
              </w:rPr>
            </w:pPr>
            <w:r w:rsidRPr="00D46C31">
              <w:rPr>
                <w:szCs w:val="20"/>
              </w:rPr>
              <w:t>Consider encouraging or stipulating a requirement for partnering with social enterprises or Aboriginal and/or Torres Strait Islander businesses</w:t>
            </w:r>
            <w:r>
              <w:rPr>
                <w:szCs w:val="20"/>
              </w:rPr>
              <w:t xml:space="preserve">, </w:t>
            </w:r>
            <w:r w:rsidRPr="00D46C31">
              <w:rPr>
                <w:szCs w:val="20"/>
              </w:rPr>
              <w:t xml:space="preserve">as part of the service delivery. This strategy is particularly relevant for head contracts or where a portion of the services might be sub-contracted. </w:t>
            </w:r>
          </w:p>
          <w:p w14:paraId="01D5C119" w14:textId="77777777" w:rsidR="009F742D" w:rsidRDefault="009F742D" w:rsidP="009F742D"/>
        </w:tc>
        <w:tc>
          <w:tcPr>
            <w:tcW w:w="4329" w:type="dxa"/>
          </w:tcPr>
          <w:p w14:paraId="749016E8" w14:textId="4B3D7C78" w:rsidR="009F742D" w:rsidRDefault="009F742D" w:rsidP="00AF3BE8">
            <w:pPr>
              <w:numPr>
                <w:ilvl w:val="0"/>
                <w:numId w:val="18"/>
              </w:numPr>
              <w:spacing w:before="120" w:after="120" w:line="264" w:lineRule="auto"/>
              <w:ind w:left="487"/>
              <w:contextualSpacing/>
              <w:rPr>
                <w:szCs w:val="20"/>
              </w:rPr>
            </w:pPr>
            <w:r w:rsidRPr="00D46C31">
              <w:rPr>
                <w:szCs w:val="20"/>
              </w:rPr>
              <w:t xml:space="preserve">Consider offering diverse </w:t>
            </w:r>
            <w:r w:rsidR="008D3832" w:rsidRPr="00D46C31">
              <w:rPr>
                <w:szCs w:val="20"/>
              </w:rPr>
              <w:t>suppliers’</w:t>
            </w:r>
            <w:r w:rsidRPr="00D46C31">
              <w:rPr>
                <w:szCs w:val="20"/>
              </w:rPr>
              <w:t xml:space="preserve"> opportunities to build capability before being considered (or reconsidered) for inclusion on an arrangement. This might include, but is not limited to: </w:t>
            </w:r>
          </w:p>
          <w:p w14:paraId="6E028E31" w14:textId="10DCE389" w:rsidR="009F742D" w:rsidRPr="00D46C31" w:rsidRDefault="009F742D" w:rsidP="00AF3BE8">
            <w:pPr>
              <w:pStyle w:val="ListParagraph"/>
              <w:numPr>
                <w:ilvl w:val="1"/>
                <w:numId w:val="19"/>
              </w:numPr>
              <w:spacing w:before="120" w:line="264" w:lineRule="auto"/>
              <w:ind w:left="817"/>
              <w:contextualSpacing/>
              <w:rPr>
                <w:szCs w:val="20"/>
              </w:rPr>
            </w:pPr>
            <w:r w:rsidRPr="00D46C31">
              <w:rPr>
                <w:szCs w:val="20"/>
              </w:rPr>
              <w:t>delivering goods or services on a trial basis before receiving feedback and potentially being included on an established arrangement if value for money can be demonstrated</w:t>
            </w:r>
            <w:r w:rsidRPr="00D46C31">
              <w:rPr>
                <w:rStyle w:val="FootnoteReference"/>
                <w:rFonts w:cs="Arial"/>
                <w:szCs w:val="20"/>
              </w:rPr>
              <w:footnoteReference w:id="7"/>
            </w:r>
          </w:p>
          <w:p w14:paraId="005D9E66" w14:textId="5391D54D" w:rsidR="008D3832" w:rsidRPr="00FC3A63" w:rsidRDefault="009F742D" w:rsidP="00AF3BE8">
            <w:pPr>
              <w:pStyle w:val="ListParagraph"/>
              <w:numPr>
                <w:ilvl w:val="1"/>
                <w:numId w:val="19"/>
              </w:numPr>
              <w:spacing w:before="120" w:line="264" w:lineRule="auto"/>
              <w:ind w:left="817"/>
              <w:contextualSpacing/>
            </w:pPr>
            <w:r w:rsidRPr="00AF3BE8">
              <w:rPr>
                <w:szCs w:val="20"/>
              </w:rPr>
              <w:t xml:space="preserve">accessing assistance already available, </w:t>
            </w:r>
            <w:proofErr w:type="gramStart"/>
            <w:r w:rsidRPr="00AF3BE8">
              <w:rPr>
                <w:szCs w:val="20"/>
              </w:rPr>
              <w:t>e.g.</w:t>
            </w:r>
            <w:proofErr w:type="gramEnd"/>
            <w:r w:rsidRPr="00AF3BE8">
              <w:rPr>
                <w:szCs w:val="20"/>
              </w:rPr>
              <w:t xml:space="preserve"> through the </w:t>
            </w:r>
            <w:r w:rsidRPr="004543F3">
              <w:rPr>
                <w:szCs w:val="20"/>
              </w:rPr>
              <w:t>Department of State Development,</w:t>
            </w:r>
            <w:r w:rsidR="005032B7" w:rsidRPr="00E8004A">
              <w:rPr>
                <w:szCs w:val="20"/>
              </w:rPr>
              <w:t xml:space="preserve"> Infrastructure, Local Government and Planning</w:t>
            </w:r>
            <w:r w:rsidRPr="004543F3">
              <w:rPr>
                <w:szCs w:val="20"/>
              </w:rPr>
              <w:t xml:space="preserve"> or the Department of </w:t>
            </w:r>
            <w:r w:rsidR="005032B7" w:rsidRPr="00E8004A">
              <w:rPr>
                <w:szCs w:val="20"/>
              </w:rPr>
              <w:t xml:space="preserve">Youth Justice, </w:t>
            </w:r>
            <w:r w:rsidRPr="004543F3">
              <w:rPr>
                <w:szCs w:val="20"/>
              </w:rPr>
              <w:t>Employment, Small Business and Training.</w:t>
            </w:r>
          </w:p>
        </w:tc>
      </w:tr>
      <w:tr w:rsidR="008D3832" w14:paraId="38B143D3" w14:textId="77777777" w:rsidTr="00AF3BE8">
        <w:tc>
          <w:tcPr>
            <w:tcW w:w="1413" w:type="dxa"/>
            <w:shd w:val="clear" w:color="auto" w:fill="D9D9D9" w:themeFill="background1" w:themeFillShade="D9"/>
          </w:tcPr>
          <w:p w14:paraId="636DD480" w14:textId="72EF9BBD" w:rsidR="009F742D" w:rsidRPr="00AF3BE8" w:rsidRDefault="009F742D">
            <w:pPr>
              <w:rPr>
                <w:b/>
                <w:bCs/>
              </w:rPr>
            </w:pPr>
            <w:bookmarkStart w:id="13" w:name="_Toc27474546"/>
            <w:r w:rsidRPr="00AF3BE8">
              <w:rPr>
                <w:b/>
                <w:bCs/>
              </w:rPr>
              <w:t>Tender specifications and evaluation criteria</w:t>
            </w:r>
            <w:bookmarkEnd w:id="13"/>
          </w:p>
        </w:tc>
        <w:tc>
          <w:tcPr>
            <w:tcW w:w="3751" w:type="dxa"/>
          </w:tcPr>
          <w:p w14:paraId="077E0B38" w14:textId="32E59C31" w:rsidR="009F742D" w:rsidRDefault="009F742D" w:rsidP="00AF3BE8">
            <w:pPr>
              <w:numPr>
                <w:ilvl w:val="0"/>
                <w:numId w:val="18"/>
              </w:numPr>
              <w:spacing w:before="120" w:after="120" w:line="264" w:lineRule="auto"/>
              <w:ind w:left="487"/>
              <w:contextualSpacing/>
            </w:pPr>
            <w:r w:rsidRPr="00393AD7">
              <w:rPr>
                <w:rFonts w:cs="Arial"/>
                <w:szCs w:val="20"/>
              </w:rPr>
              <w:t>Design innovative processes, enabling suppliers to present their best offering.</w:t>
            </w:r>
          </w:p>
        </w:tc>
        <w:tc>
          <w:tcPr>
            <w:tcW w:w="4329" w:type="dxa"/>
          </w:tcPr>
          <w:p w14:paraId="2DA5D2ED" w14:textId="77777777" w:rsidR="009F742D" w:rsidRPr="00393AD7" w:rsidRDefault="009F742D" w:rsidP="009F742D">
            <w:pPr>
              <w:numPr>
                <w:ilvl w:val="0"/>
                <w:numId w:val="18"/>
              </w:numPr>
              <w:spacing w:before="120" w:after="120" w:line="264" w:lineRule="auto"/>
              <w:ind w:left="487"/>
              <w:contextualSpacing/>
              <w:rPr>
                <w:rFonts w:cs="Arial"/>
                <w:szCs w:val="20"/>
              </w:rPr>
            </w:pPr>
            <w:r w:rsidRPr="00393AD7">
              <w:rPr>
                <w:rFonts w:cs="Arial"/>
                <w:szCs w:val="20"/>
              </w:rPr>
              <w:t xml:space="preserve">Consider alternative ways that suppliers might prove their merit for inclusion on arrangements, particularly on lower risk goods/services. </w:t>
            </w:r>
          </w:p>
          <w:p w14:paraId="09811939" w14:textId="1BCCDEDB" w:rsidR="008D3832" w:rsidRPr="00FC3A63" w:rsidRDefault="009F742D" w:rsidP="00AF3BE8">
            <w:pPr>
              <w:numPr>
                <w:ilvl w:val="0"/>
                <w:numId w:val="18"/>
              </w:numPr>
              <w:spacing w:before="120" w:after="120" w:line="264" w:lineRule="auto"/>
              <w:ind w:left="487"/>
              <w:contextualSpacing/>
            </w:pPr>
            <w:r w:rsidRPr="00393AD7">
              <w:rPr>
                <w:rFonts w:cs="Arial"/>
                <w:szCs w:val="20"/>
              </w:rPr>
              <w:t>Some services may be best assessed through presentation</w:t>
            </w:r>
            <w:r w:rsidRPr="009D703E">
              <w:rPr>
                <w:rFonts w:cs="Arial"/>
                <w:szCs w:val="20"/>
              </w:rPr>
              <w:t>s</w:t>
            </w:r>
            <w:r w:rsidRPr="00393AD7">
              <w:rPr>
                <w:rFonts w:cs="Arial"/>
                <w:szCs w:val="20"/>
              </w:rPr>
              <w:t>, or an interview style process where pre-determined questions can be asked (and scored) and evidence supporting capability can be provided in a verbal, rather than written way, from potential offerors.</w:t>
            </w:r>
            <w:r w:rsidR="008D3832">
              <w:rPr>
                <w:rFonts w:cs="Arial"/>
                <w:szCs w:val="20"/>
              </w:rPr>
              <w:t xml:space="preserve"> </w:t>
            </w:r>
            <w:r w:rsidRPr="008D3832">
              <w:rPr>
                <w:rFonts w:cs="Arial"/>
                <w:szCs w:val="20"/>
              </w:rPr>
              <w:t xml:space="preserve">Consider how to provide an environment where culturally diverse suppliers can feel comfortable to ask questions about the opportunity. </w:t>
            </w:r>
          </w:p>
        </w:tc>
      </w:tr>
      <w:tr w:rsidR="008D3832" w14:paraId="5824AA80" w14:textId="77777777" w:rsidTr="00AF3BE8">
        <w:tc>
          <w:tcPr>
            <w:tcW w:w="1413" w:type="dxa"/>
            <w:shd w:val="clear" w:color="auto" w:fill="D9D9D9" w:themeFill="background1" w:themeFillShade="D9"/>
          </w:tcPr>
          <w:p w14:paraId="0383BE43" w14:textId="36D13812" w:rsidR="009F742D" w:rsidRPr="00AF3BE8" w:rsidRDefault="009F742D">
            <w:pPr>
              <w:rPr>
                <w:b/>
                <w:bCs/>
              </w:rPr>
            </w:pPr>
            <w:bookmarkStart w:id="14" w:name="_Toc27474547"/>
            <w:r w:rsidRPr="00AF3BE8">
              <w:rPr>
                <w:b/>
                <w:bCs/>
              </w:rPr>
              <w:t>Go to market</w:t>
            </w:r>
            <w:bookmarkEnd w:id="14"/>
          </w:p>
        </w:tc>
        <w:tc>
          <w:tcPr>
            <w:tcW w:w="3751" w:type="dxa"/>
          </w:tcPr>
          <w:p w14:paraId="7026C430" w14:textId="561DE2CF" w:rsidR="009F742D" w:rsidRDefault="009F742D" w:rsidP="00AF3BE8">
            <w:pPr>
              <w:numPr>
                <w:ilvl w:val="0"/>
                <w:numId w:val="18"/>
              </w:numPr>
              <w:spacing w:before="120" w:after="120" w:line="264" w:lineRule="auto"/>
              <w:ind w:left="487"/>
              <w:contextualSpacing/>
            </w:pPr>
            <w:r w:rsidRPr="00393AD7">
              <w:rPr>
                <w:rFonts w:cs="Arial"/>
                <w:szCs w:val="20"/>
              </w:rPr>
              <w:t>Justify diversification strategies by referencing government commitments and policies.</w:t>
            </w:r>
          </w:p>
        </w:tc>
        <w:tc>
          <w:tcPr>
            <w:tcW w:w="4329" w:type="dxa"/>
          </w:tcPr>
          <w:p w14:paraId="1A4159F4" w14:textId="7CD43BE9" w:rsidR="008D3832" w:rsidRPr="00AF3BE8" w:rsidRDefault="009F742D" w:rsidP="00AF3BE8">
            <w:pPr>
              <w:numPr>
                <w:ilvl w:val="0"/>
                <w:numId w:val="18"/>
              </w:numPr>
              <w:spacing w:before="120" w:after="120" w:line="264" w:lineRule="auto"/>
              <w:ind w:left="487"/>
              <w:contextualSpacing/>
              <w:rPr>
                <w:rFonts w:cs="Arial"/>
                <w:szCs w:val="20"/>
              </w:rPr>
            </w:pPr>
            <w:r w:rsidRPr="00393AD7">
              <w:rPr>
                <w:rFonts w:cs="Arial"/>
                <w:szCs w:val="20"/>
              </w:rPr>
              <w:t xml:space="preserve">Promote the tender opportunity through diverse sector networks. </w:t>
            </w:r>
            <w:r w:rsidRPr="008D3832">
              <w:rPr>
                <w:rFonts w:cs="Arial"/>
                <w:szCs w:val="20"/>
              </w:rPr>
              <w:t xml:space="preserve">Contact Aboriginal and Torres Strait Islander suppliers and social enterprises to inform them of the opportunity on </w:t>
            </w:r>
            <w:hyperlink r:id="rId18" w:history="1">
              <w:r w:rsidR="00FC3A63" w:rsidRPr="00FC3A63">
                <w:rPr>
                  <w:rStyle w:val="Hyperlink"/>
                  <w:rFonts w:cs="Arial"/>
                  <w:szCs w:val="20"/>
                </w:rPr>
                <w:t>QTenders</w:t>
              </w:r>
            </w:hyperlink>
            <w:r w:rsidRPr="008D3832">
              <w:rPr>
                <w:rFonts w:cs="Arial"/>
                <w:szCs w:val="20"/>
              </w:rPr>
              <w:t xml:space="preserve">. </w:t>
            </w:r>
          </w:p>
        </w:tc>
      </w:tr>
      <w:tr w:rsidR="008D3832" w14:paraId="54538FCC" w14:textId="77777777" w:rsidTr="00AF3BE8">
        <w:tc>
          <w:tcPr>
            <w:tcW w:w="1413" w:type="dxa"/>
            <w:shd w:val="clear" w:color="auto" w:fill="D9D9D9" w:themeFill="background1" w:themeFillShade="D9"/>
          </w:tcPr>
          <w:p w14:paraId="11ADC792" w14:textId="72F37694" w:rsidR="009F742D" w:rsidRPr="00AF3BE8" w:rsidRDefault="009F742D">
            <w:pPr>
              <w:rPr>
                <w:b/>
                <w:bCs/>
              </w:rPr>
            </w:pPr>
            <w:bookmarkStart w:id="15" w:name="_Toc27474548"/>
            <w:r w:rsidRPr="00AF3BE8">
              <w:rPr>
                <w:b/>
                <w:bCs/>
              </w:rPr>
              <w:t>Evaluation</w:t>
            </w:r>
            <w:bookmarkEnd w:id="15"/>
          </w:p>
        </w:tc>
        <w:tc>
          <w:tcPr>
            <w:tcW w:w="3751" w:type="dxa"/>
          </w:tcPr>
          <w:p w14:paraId="31C420A7" w14:textId="17D5CCD5" w:rsidR="00FC3A63" w:rsidRPr="00393AD7" w:rsidRDefault="009F742D" w:rsidP="009F742D">
            <w:pPr>
              <w:numPr>
                <w:ilvl w:val="0"/>
                <w:numId w:val="18"/>
              </w:numPr>
              <w:spacing w:before="120" w:after="120" w:line="264" w:lineRule="auto"/>
              <w:ind w:left="487"/>
              <w:contextualSpacing/>
              <w:rPr>
                <w:rFonts w:cs="Arial"/>
                <w:szCs w:val="20"/>
              </w:rPr>
            </w:pPr>
            <w:r w:rsidRPr="009D703E">
              <w:rPr>
                <w:rFonts w:cs="Arial"/>
                <w:szCs w:val="20"/>
              </w:rPr>
              <w:t>To ensure a fair and equitable process, d</w:t>
            </w:r>
            <w:r w:rsidRPr="00393AD7">
              <w:rPr>
                <w:rFonts w:cs="Arial"/>
                <w:szCs w:val="20"/>
              </w:rPr>
              <w:t>iverse suppliers must demonstrate merit for inclusion before being added to arrangements.</w:t>
            </w:r>
            <w:r w:rsidR="00FC3A63">
              <w:rPr>
                <w:rFonts w:cs="Arial"/>
                <w:szCs w:val="20"/>
              </w:rPr>
              <w:t xml:space="preserve"> </w:t>
            </w:r>
          </w:p>
          <w:p w14:paraId="52CDE210" w14:textId="702F5FDA" w:rsidR="009F742D" w:rsidRPr="00FC3A63" w:rsidRDefault="009F742D" w:rsidP="00AF3BE8">
            <w:pPr>
              <w:numPr>
                <w:ilvl w:val="0"/>
                <w:numId w:val="18"/>
              </w:numPr>
              <w:spacing w:before="120" w:after="120" w:line="264" w:lineRule="auto"/>
              <w:ind w:left="487"/>
              <w:contextualSpacing/>
            </w:pPr>
            <w:r w:rsidRPr="00FC3A63">
              <w:rPr>
                <w:rFonts w:cs="Arial"/>
                <w:szCs w:val="20"/>
              </w:rPr>
              <w:t>Evaluation reports should specifically identify the inclusion of a diverse set of suppliers.</w:t>
            </w:r>
          </w:p>
        </w:tc>
        <w:tc>
          <w:tcPr>
            <w:tcW w:w="4329" w:type="dxa"/>
          </w:tcPr>
          <w:p w14:paraId="30FC95B8" w14:textId="1B512C7A" w:rsidR="009F742D" w:rsidRPr="00C34967" w:rsidRDefault="009F742D" w:rsidP="009F742D">
            <w:pPr>
              <w:numPr>
                <w:ilvl w:val="0"/>
                <w:numId w:val="18"/>
              </w:numPr>
              <w:spacing w:before="120" w:after="120" w:line="264" w:lineRule="auto"/>
              <w:ind w:left="487"/>
              <w:contextualSpacing/>
              <w:rPr>
                <w:rFonts w:cs="Arial"/>
                <w:szCs w:val="20"/>
              </w:rPr>
            </w:pPr>
            <w:r w:rsidRPr="00393AD7">
              <w:rPr>
                <w:rFonts w:cs="Arial"/>
                <w:szCs w:val="20"/>
              </w:rPr>
              <w:t xml:space="preserve">Consider getting specialist advice when assessing claims made by suppliers </w:t>
            </w:r>
            <w:r w:rsidRPr="00393AD7">
              <w:rPr>
                <w:rFonts w:cs="Arial"/>
                <w:color w:val="000000" w:themeColor="text1"/>
                <w:szCs w:val="20"/>
              </w:rPr>
              <w:t xml:space="preserve">relating to diversity. Check the credentials of Aboriginal and Torres Strait Islander businesses by using the </w:t>
            </w:r>
            <w:hyperlink r:id="rId19" w:history="1">
              <w:r w:rsidRPr="00AF3BE8">
                <w:rPr>
                  <w:rStyle w:val="Hyperlink"/>
                  <w:szCs w:val="22"/>
                </w:rPr>
                <w:t xml:space="preserve">Supply Nation </w:t>
              </w:r>
              <w:r w:rsidRPr="00FC3A63">
                <w:rPr>
                  <w:rStyle w:val="Hyperlink"/>
                  <w:rFonts w:cs="Arial"/>
                  <w:szCs w:val="20"/>
                </w:rPr>
                <w:t>directory</w:t>
              </w:r>
            </w:hyperlink>
            <w:r w:rsidRPr="00393AD7">
              <w:rPr>
                <w:rFonts w:cs="Arial"/>
                <w:color w:val="000000" w:themeColor="text1"/>
                <w:szCs w:val="20"/>
              </w:rPr>
              <w:t xml:space="preserve"> or seek the advice </w:t>
            </w:r>
            <w:r w:rsidR="004543F3">
              <w:rPr>
                <w:rFonts w:cs="Arial"/>
                <w:color w:val="000000" w:themeColor="text1"/>
                <w:szCs w:val="20"/>
              </w:rPr>
              <w:t xml:space="preserve">from </w:t>
            </w:r>
            <w:r w:rsidRPr="00393AD7">
              <w:rPr>
                <w:rFonts w:cs="Arial"/>
                <w:color w:val="000000" w:themeColor="text1"/>
                <w:szCs w:val="20"/>
              </w:rPr>
              <w:t>the</w:t>
            </w:r>
            <w:r w:rsidR="004543F3">
              <w:rPr>
                <w:rFonts w:cs="Arial"/>
                <w:color w:val="000000" w:themeColor="text1"/>
                <w:szCs w:val="20"/>
              </w:rPr>
              <w:t xml:space="preserve"> </w:t>
            </w:r>
            <w:r w:rsidR="004543F3" w:rsidRPr="00D46C31">
              <w:rPr>
                <w:szCs w:val="20"/>
              </w:rPr>
              <w:t xml:space="preserve">Department of </w:t>
            </w:r>
            <w:r w:rsidR="004543F3">
              <w:rPr>
                <w:szCs w:val="20"/>
              </w:rPr>
              <w:t xml:space="preserve">Treaty, </w:t>
            </w:r>
            <w:r w:rsidR="004543F3" w:rsidRPr="00D46C31">
              <w:rPr>
                <w:szCs w:val="20"/>
              </w:rPr>
              <w:t>Aboriginal and Torres Strait Islander Partnerships</w:t>
            </w:r>
            <w:r w:rsidR="004543F3">
              <w:rPr>
                <w:szCs w:val="20"/>
              </w:rPr>
              <w:t xml:space="preserve">, </w:t>
            </w:r>
            <w:proofErr w:type="gramStart"/>
            <w:r w:rsidR="004543F3">
              <w:rPr>
                <w:szCs w:val="20"/>
              </w:rPr>
              <w:t>Community</w:t>
            </w:r>
            <w:proofErr w:type="gramEnd"/>
            <w:r w:rsidR="004543F3">
              <w:rPr>
                <w:szCs w:val="20"/>
              </w:rPr>
              <w:t xml:space="preserve"> and the Arts</w:t>
            </w:r>
            <w:r w:rsidR="00771003">
              <w:rPr>
                <w:szCs w:val="20"/>
              </w:rPr>
              <w:t>.</w:t>
            </w:r>
            <w:r w:rsidRPr="004543F3">
              <w:rPr>
                <w:rFonts w:cs="Arial"/>
                <w:color w:val="000000" w:themeColor="text1"/>
                <w:szCs w:val="20"/>
              </w:rPr>
              <w:t xml:space="preserve"> To</w:t>
            </w:r>
            <w:r w:rsidRPr="00393AD7">
              <w:rPr>
                <w:rFonts w:cs="Arial"/>
                <w:color w:val="000000" w:themeColor="text1"/>
                <w:szCs w:val="20"/>
              </w:rPr>
              <w:t xml:space="preserve"> confirm the credentials of a social enterprise, please refer the </w:t>
            </w:r>
            <w:hyperlink r:id="rId20" w:history="1">
              <w:r w:rsidRPr="00E8004A">
                <w:rPr>
                  <w:rStyle w:val="Hyperlink"/>
                  <w:rFonts w:cs="Arial"/>
                  <w:szCs w:val="20"/>
                  <w:shd w:val="clear" w:color="auto" w:fill="FFFFFF" w:themeFill="background1"/>
                </w:rPr>
                <w:t>Social enterprise certification guide</w:t>
              </w:r>
            </w:hyperlink>
            <w:r w:rsidRPr="00C34967">
              <w:rPr>
                <w:rFonts w:cs="Arial"/>
                <w:color w:val="000000" w:themeColor="text1"/>
                <w:szCs w:val="20"/>
                <w:shd w:val="clear" w:color="auto" w:fill="FFFFFF" w:themeFill="background1"/>
              </w:rPr>
              <w:t>.</w:t>
            </w:r>
            <w:r w:rsidRPr="00C34967">
              <w:rPr>
                <w:rFonts w:cs="Arial"/>
                <w:color w:val="000000" w:themeColor="text1"/>
                <w:szCs w:val="20"/>
              </w:rPr>
              <w:t xml:space="preserve">  </w:t>
            </w:r>
          </w:p>
          <w:p w14:paraId="3F66583A" w14:textId="443C2F64" w:rsidR="008D3832" w:rsidRPr="00140B0B" w:rsidRDefault="009F742D" w:rsidP="00AF3BE8">
            <w:pPr>
              <w:numPr>
                <w:ilvl w:val="0"/>
                <w:numId w:val="18"/>
              </w:numPr>
              <w:spacing w:before="120" w:after="120" w:line="264" w:lineRule="auto"/>
              <w:ind w:left="487"/>
              <w:contextualSpacing/>
            </w:pPr>
            <w:r w:rsidRPr="00393AD7">
              <w:rPr>
                <w:rFonts w:cs="Arial"/>
                <w:szCs w:val="20"/>
              </w:rPr>
              <w:t>If there were suppliers from under-represented groups that demonstrated good capability but narrowly missed the initial award of business, be clear about where they need to improve in the debrief</w:t>
            </w:r>
            <w:r w:rsidR="009C7BC5" w:rsidRPr="00393AD7">
              <w:rPr>
                <w:rFonts w:cs="Arial"/>
                <w:szCs w:val="20"/>
              </w:rPr>
              <w:t xml:space="preserve">. </w:t>
            </w:r>
            <w:r w:rsidRPr="009D703E">
              <w:rPr>
                <w:rFonts w:cs="Arial"/>
                <w:szCs w:val="20"/>
              </w:rPr>
              <w:t>This will support these suppliers to better demonstrate capacity the next time the arrangement is refreshed.</w:t>
            </w:r>
          </w:p>
        </w:tc>
      </w:tr>
      <w:tr w:rsidR="008D3832" w14:paraId="2FDEA164" w14:textId="77777777" w:rsidTr="00AF3BE8">
        <w:tc>
          <w:tcPr>
            <w:tcW w:w="1413" w:type="dxa"/>
            <w:shd w:val="clear" w:color="auto" w:fill="D9D9D9" w:themeFill="background1" w:themeFillShade="D9"/>
            <w:textDirection w:val="btLr"/>
          </w:tcPr>
          <w:p w14:paraId="24C06013" w14:textId="5143754E" w:rsidR="009F742D" w:rsidRPr="00AF3BE8" w:rsidRDefault="009F742D">
            <w:pPr>
              <w:rPr>
                <w:b/>
                <w:bCs/>
              </w:rPr>
            </w:pPr>
            <w:bookmarkStart w:id="16" w:name="_Toc27474549"/>
            <w:r w:rsidRPr="00AF3BE8">
              <w:rPr>
                <w:b/>
                <w:bCs/>
              </w:rPr>
              <w:t>Establishing and managing arrangements</w:t>
            </w:r>
            <w:bookmarkEnd w:id="16"/>
          </w:p>
        </w:tc>
        <w:tc>
          <w:tcPr>
            <w:tcW w:w="3751" w:type="dxa"/>
          </w:tcPr>
          <w:p w14:paraId="1F5E9228" w14:textId="77777777" w:rsidR="009F742D" w:rsidRDefault="009F742D">
            <w:pPr>
              <w:numPr>
                <w:ilvl w:val="0"/>
                <w:numId w:val="18"/>
              </w:numPr>
              <w:spacing w:before="120" w:after="120" w:line="264" w:lineRule="auto"/>
              <w:ind w:left="487"/>
              <w:contextualSpacing/>
              <w:rPr>
                <w:rFonts w:cs="Arial"/>
                <w:szCs w:val="20"/>
              </w:rPr>
            </w:pPr>
            <w:r>
              <w:rPr>
                <w:rFonts w:cs="Arial"/>
                <w:szCs w:val="20"/>
              </w:rPr>
              <w:t>For existing arrangements, assess the diversity of the arrangement.</w:t>
            </w:r>
          </w:p>
          <w:p w14:paraId="03328003" w14:textId="54027028" w:rsidR="009F742D" w:rsidRDefault="009F742D" w:rsidP="00AF3BE8">
            <w:pPr>
              <w:spacing w:after="120"/>
              <w:ind w:left="487"/>
              <w:contextualSpacing/>
            </w:pPr>
            <w:r>
              <w:rPr>
                <w:rFonts w:cs="Arial"/>
                <w:szCs w:val="20"/>
              </w:rPr>
              <w:t>Where there is a lack of diversity, b</w:t>
            </w:r>
            <w:r w:rsidRPr="009D703E">
              <w:rPr>
                <w:rFonts w:cs="Arial"/>
                <w:szCs w:val="20"/>
              </w:rPr>
              <w:t xml:space="preserve">efore </w:t>
            </w:r>
            <w:r>
              <w:rPr>
                <w:rFonts w:cs="Arial"/>
                <w:szCs w:val="20"/>
              </w:rPr>
              <w:t xml:space="preserve">inviting further tenders from under-represented business types, </w:t>
            </w:r>
            <w:r w:rsidRPr="009D703E">
              <w:rPr>
                <w:rFonts w:cs="Arial"/>
                <w:szCs w:val="20"/>
              </w:rPr>
              <w:t>check whether the existing arrangement terms and conditions allow for this</w:t>
            </w:r>
            <w:r>
              <w:rPr>
                <w:rFonts w:cs="Arial"/>
                <w:szCs w:val="20"/>
              </w:rPr>
              <w:t xml:space="preserve"> (refer Appendix 1). If unsure, seek advice from your agency’s legal services area. </w:t>
            </w:r>
          </w:p>
        </w:tc>
        <w:tc>
          <w:tcPr>
            <w:tcW w:w="4329" w:type="dxa"/>
          </w:tcPr>
          <w:p w14:paraId="68A6932D" w14:textId="77777777" w:rsidR="009F742D" w:rsidRPr="00393AD7" w:rsidRDefault="009F742D" w:rsidP="009F742D">
            <w:pPr>
              <w:numPr>
                <w:ilvl w:val="0"/>
                <w:numId w:val="18"/>
              </w:numPr>
              <w:spacing w:before="120" w:after="120" w:line="264" w:lineRule="auto"/>
              <w:ind w:left="487"/>
              <w:contextualSpacing/>
              <w:rPr>
                <w:rFonts w:cs="Arial"/>
                <w:szCs w:val="20"/>
              </w:rPr>
            </w:pPr>
            <w:r w:rsidRPr="00393AD7">
              <w:rPr>
                <w:rFonts w:cs="Arial"/>
                <w:szCs w:val="20"/>
              </w:rPr>
              <w:t>Flag diverse suppliers in the arrangement’s membership list to make it easy for buyers to identify and engage with them. This includes small business, social enterprise</w:t>
            </w:r>
            <w:r w:rsidRPr="009D703E">
              <w:rPr>
                <w:rFonts w:cs="Arial"/>
                <w:szCs w:val="20"/>
              </w:rPr>
              <w:t>s</w:t>
            </w:r>
            <w:r>
              <w:rPr>
                <w:rFonts w:cs="Arial"/>
                <w:szCs w:val="20"/>
              </w:rPr>
              <w:t>,</w:t>
            </w:r>
            <w:r w:rsidRPr="00393AD7">
              <w:rPr>
                <w:rFonts w:cs="Arial"/>
                <w:szCs w:val="20"/>
              </w:rPr>
              <w:t xml:space="preserve"> Aboriginal and</w:t>
            </w:r>
            <w:r>
              <w:rPr>
                <w:rFonts w:cs="Arial"/>
                <w:szCs w:val="20"/>
              </w:rPr>
              <w:t>/or</w:t>
            </w:r>
            <w:r w:rsidRPr="00393AD7">
              <w:rPr>
                <w:rFonts w:cs="Arial"/>
                <w:szCs w:val="20"/>
              </w:rPr>
              <w:t xml:space="preserve"> Torres Strait Islander businesses.</w:t>
            </w:r>
          </w:p>
          <w:p w14:paraId="59691836" w14:textId="77777777" w:rsidR="009F742D" w:rsidRPr="009D703E" w:rsidRDefault="009F742D" w:rsidP="009F742D">
            <w:pPr>
              <w:numPr>
                <w:ilvl w:val="0"/>
                <w:numId w:val="18"/>
              </w:numPr>
              <w:spacing w:before="120" w:after="120" w:line="264" w:lineRule="auto"/>
              <w:ind w:left="487"/>
              <w:contextualSpacing/>
              <w:rPr>
                <w:rFonts w:cs="Arial"/>
                <w:szCs w:val="20"/>
              </w:rPr>
            </w:pPr>
            <w:r w:rsidRPr="00393AD7">
              <w:rPr>
                <w:rFonts w:cs="Arial"/>
                <w:szCs w:val="20"/>
              </w:rPr>
              <w:t>Periodically review membership and the available supply market to identify opportunities to add diversity and increase spending with these suppliers.</w:t>
            </w:r>
          </w:p>
          <w:p w14:paraId="4365B507" w14:textId="77777777" w:rsidR="009F742D" w:rsidRDefault="009F742D" w:rsidP="009F742D"/>
        </w:tc>
      </w:tr>
    </w:tbl>
    <w:p w14:paraId="06F386BE" w14:textId="77777777" w:rsidR="00FC3A63" w:rsidRDefault="00FC3A63" w:rsidP="003D15D0">
      <w:pPr>
        <w:pStyle w:val="Heading1"/>
      </w:pPr>
      <w:bookmarkStart w:id="17" w:name="_Toc6307272"/>
      <w:bookmarkStart w:id="18" w:name="_Toc27474552"/>
      <w:r>
        <w:br w:type="page"/>
      </w:r>
    </w:p>
    <w:p w14:paraId="38857C1C" w14:textId="5DCF71C3" w:rsidR="00E44B2C" w:rsidRDefault="00E44B2C" w:rsidP="00AF3BE8">
      <w:pPr>
        <w:pStyle w:val="Heading1"/>
        <w:rPr>
          <w:sz w:val="28"/>
        </w:rPr>
      </w:pPr>
      <w:bookmarkStart w:id="19" w:name="_Toc151390523"/>
      <w:r>
        <w:t>Appendix 1</w:t>
      </w:r>
      <w:r w:rsidR="00985A48">
        <w:t>—</w:t>
      </w:r>
      <w:r>
        <w:t>Example clause</w:t>
      </w:r>
      <w:bookmarkEnd w:id="17"/>
      <w:r>
        <w:t>s</w:t>
      </w:r>
      <w:bookmarkEnd w:id="18"/>
      <w:bookmarkEnd w:id="19"/>
      <w:r>
        <w:t xml:space="preserve"> </w:t>
      </w:r>
    </w:p>
    <w:p w14:paraId="73F711CA" w14:textId="77777777" w:rsidR="00E44B2C" w:rsidRPr="00DB5F56" w:rsidRDefault="00E44B2C" w:rsidP="00AF3BE8">
      <w:pPr>
        <w:pStyle w:val="Heading2"/>
        <w:rPr>
          <w:rFonts w:asciiTheme="minorHAnsi" w:hAnsiTheme="minorHAnsi"/>
        </w:rPr>
      </w:pPr>
      <w:bookmarkStart w:id="20" w:name="_Toc151390524"/>
      <w:r w:rsidRPr="00DB5F56">
        <w:t>Invitation to offer (ITO) clause</w:t>
      </w:r>
      <w:bookmarkEnd w:id="20"/>
    </w:p>
    <w:p w14:paraId="6872677E" w14:textId="77777777" w:rsidR="00E44B2C" w:rsidRDefault="00E44B2C" w:rsidP="00AF3BE8">
      <w:r>
        <w:t>Where the invitation to offer relates to a potential SOA, the principal reserves the right to:</w:t>
      </w:r>
    </w:p>
    <w:p w14:paraId="07F94962" w14:textId="77777777" w:rsidR="00E44B2C" w:rsidRDefault="00E44B2C" w:rsidP="00AF3BE8">
      <w:pPr>
        <w:pStyle w:val="ListParagraph"/>
        <w:numPr>
          <w:ilvl w:val="0"/>
          <w:numId w:val="12"/>
        </w:numPr>
        <w:spacing w:before="120" w:line="264" w:lineRule="auto"/>
        <w:ind w:left="360"/>
        <w:contextualSpacing/>
      </w:pPr>
      <w:r>
        <w:t>enter into a SOA for the supply of the Goods, Services and Deliverables with other suppliers which participate in the invitation process; and</w:t>
      </w:r>
    </w:p>
    <w:p w14:paraId="0180EAB4" w14:textId="77777777" w:rsidR="00E44B2C" w:rsidRDefault="00E44B2C" w:rsidP="00AF3BE8">
      <w:pPr>
        <w:pStyle w:val="ListParagraph"/>
        <w:numPr>
          <w:ilvl w:val="0"/>
          <w:numId w:val="12"/>
        </w:numPr>
        <w:spacing w:before="120" w:line="264" w:lineRule="auto"/>
        <w:ind w:left="360"/>
        <w:contextualSpacing/>
      </w:pPr>
      <w:r>
        <w:t>enter into SOAs with other suppliers for the supply of the Goods, Services and Deliverables at any time during the term of any SOA established as a result of this invitation process, notwithstanding that the other suppliers did not participate in the invitation process, if:</w:t>
      </w:r>
    </w:p>
    <w:p w14:paraId="49B8B469" w14:textId="77777777" w:rsidR="00E44B2C" w:rsidRDefault="00E44B2C" w:rsidP="00AF3BE8">
      <w:pPr>
        <w:pStyle w:val="ListParagraph"/>
        <w:numPr>
          <w:ilvl w:val="1"/>
          <w:numId w:val="13"/>
        </w:numPr>
        <w:spacing w:before="120" w:line="264" w:lineRule="auto"/>
        <w:ind w:left="1080"/>
        <w:contextualSpacing/>
      </w:pPr>
      <w:r>
        <w:t>the principal considers it is necessary or desirable to comply with government procurement policy, including policy regarding diversity in supply chains and the achievement of social objectives; or</w:t>
      </w:r>
    </w:p>
    <w:p w14:paraId="4DEE02C0" w14:textId="77777777" w:rsidR="00E44B2C" w:rsidRDefault="00E44B2C" w:rsidP="00AF3BE8">
      <w:pPr>
        <w:pStyle w:val="ListParagraph"/>
        <w:numPr>
          <w:ilvl w:val="1"/>
          <w:numId w:val="13"/>
        </w:numPr>
        <w:spacing w:before="120" w:line="264" w:lineRule="auto"/>
        <w:ind w:left="1080"/>
        <w:contextualSpacing/>
      </w:pPr>
      <w:r>
        <w:t>special circumstances exist that warrant entering into SOAs with additional suppliers, including but not limited to changes in technology.</w:t>
      </w:r>
    </w:p>
    <w:p w14:paraId="3EEC668D" w14:textId="59D43ACA" w:rsidR="00E44B2C" w:rsidRPr="00DB5F56" w:rsidRDefault="00E44B2C" w:rsidP="00AF3BE8">
      <w:pPr>
        <w:pStyle w:val="Heading2"/>
      </w:pPr>
      <w:bookmarkStart w:id="21" w:name="_Toc151390525"/>
      <w:r w:rsidRPr="00DB5F56">
        <w:t>Standing offer arrangement (SOA) conditions</w:t>
      </w:r>
      <w:r w:rsidR="00985A48">
        <w:t>—</w:t>
      </w:r>
      <w:r w:rsidRPr="00DB5F56">
        <w:t>non - exclusivity</w:t>
      </w:r>
      <w:bookmarkEnd w:id="21"/>
    </w:p>
    <w:p w14:paraId="0E271128" w14:textId="77777777" w:rsidR="00E44B2C" w:rsidRDefault="00E44B2C" w:rsidP="00AF3BE8">
      <w:r>
        <w:t>The supplier acknowledges that:</w:t>
      </w:r>
    </w:p>
    <w:p w14:paraId="0BC9EE85" w14:textId="77777777" w:rsidR="00E44B2C" w:rsidRDefault="00E44B2C" w:rsidP="00AF3BE8">
      <w:pPr>
        <w:pStyle w:val="ListParagraph"/>
        <w:numPr>
          <w:ilvl w:val="0"/>
          <w:numId w:val="14"/>
        </w:numPr>
        <w:spacing w:before="120" w:line="264" w:lineRule="auto"/>
        <w:ind w:left="360"/>
        <w:contextualSpacing/>
      </w:pPr>
      <w:r>
        <w:t>unless stated otherwise in the SOA details, the Principal and eligible Customers may engage other suppliers (or themselves) to provide goods, services and other deliverables the same as or similar to the Deliverables; and</w:t>
      </w:r>
    </w:p>
    <w:p w14:paraId="5CD026A0" w14:textId="77777777" w:rsidR="00E44B2C" w:rsidRDefault="00E44B2C" w:rsidP="00AF3BE8">
      <w:pPr>
        <w:pStyle w:val="ListParagraph"/>
        <w:numPr>
          <w:ilvl w:val="0"/>
          <w:numId w:val="14"/>
        </w:numPr>
        <w:spacing w:before="120" w:line="264" w:lineRule="auto"/>
        <w:ind w:left="360"/>
        <w:contextualSpacing/>
      </w:pPr>
      <w:r>
        <w:t>the Principal may, during the term of the SOA, appoint other suppliers to provide the Goods, Services and Deliverables under the SOA if:</w:t>
      </w:r>
    </w:p>
    <w:p w14:paraId="3866BED0" w14:textId="77777777" w:rsidR="00E44B2C" w:rsidRDefault="00E44B2C" w:rsidP="00AF3BE8">
      <w:pPr>
        <w:pStyle w:val="ListParagraph"/>
        <w:numPr>
          <w:ilvl w:val="1"/>
          <w:numId w:val="15"/>
        </w:numPr>
        <w:spacing w:before="120" w:line="264" w:lineRule="auto"/>
        <w:ind w:left="1080"/>
        <w:contextualSpacing/>
      </w:pPr>
      <w:r>
        <w:t>the Principal considers the inclusion of one or more additional suppliers is necessary or desirable to comply with government procurement policy, including policy regarding diversity in supply chains and the achievement of social objectives; or</w:t>
      </w:r>
    </w:p>
    <w:p w14:paraId="58B3009C" w14:textId="77777777" w:rsidR="00E44B2C" w:rsidRDefault="00E44B2C" w:rsidP="00AF3BE8">
      <w:pPr>
        <w:pStyle w:val="ListParagraph"/>
        <w:numPr>
          <w:ilvl w:val="1"/>
          <w:numId w:val="15"/>
        </w:numPr>
        <w:spacing w:before="120" w:line="264" w:lineRule="auto"/>
        <w:ind w:left="1080"/>
        <w:contextualSpacing/>
      </w:pPr>
      <w:r>
        <w:t>special circumstances exist that warrant the inclusion of additional suppliers.</w:t>
      </w:r>
    </w:p>
    <w:p w14:paraId="662B52B6" w14:textId="04269D0F" w:rsidR="00E44B2C" w:rsidRPr="00DB5F56" w:rsidRDefault="00E44B2C" w:rsidP="00AF3BE8">
      <w:pPr>
        <w:pStyle w:val="Heading2"/>
      </w:pPr>
      <w:bookmarkStart w:id="22" w:name="_Toc151390526"/>
      <w:r w:rsidRPr="00DB5F56">
        <w:t>No</w:t>
      </w:r>
      <w:r w:rsidR="003D15D0">
        <w:t xml:space="preserve"> p</w:t>
      </w:r>
      <w:r w:rsidRPr="00DB5F56">
        <w:t xml:space="preserve">rocess </w:t>
      </w:r>
      <w:r w:rsidR="003D15D0">
        <w:t>c</w:t>
      </w:r>
      <w:r w:rsidRPr="00DB5F56">
        <w:t>ontract</w:t>
      </w:r>
      <w:bookmarkEnd w:id="22"/>
    </w:p>
    <w:p w14:paraId="69C7E7B8" w14:textId="2A0A1547" w:rsidR="007A4B81" w:rsidRPr="007A4B81" w:rsidRDefault="00E44B2C" w:rsidP="007A4B81">
      <w:r>
        <w:t>The conduct of the invitation process does not give rise to any legal or equitable relationship. A supplier will not be entitled to claim compensation or loss from the customer for any matter arising out of the invitation process, including but not limited to any failure by the customer to comply with these Invitation to Offer Conditions.</w:t>
      </w:r>
    </w:p>
    <w:sectPr w:rsidR="007A4B81" w:rsidRPr="007A4B81" w:rsidSect="003A1CD0">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A6AA" w14:textId="77777777" w:rsidR="006954B8" w:rsidRDefault="006954B8" w:rsidP="00F752DB">
      <w:pPr>
        <w:spacing w:after="0" w:line="240" w:lineRule="auto"/>
      </w:pPr>
      <w:r>
        <w:separator/>
      </w:r>
    </w:p>
  </w:endnote>
  <w:endnote w:type="continuationSeparator" w:id="0">
    <w:p w14:paraId="7AF711D5" w14:textId="77777777" w:rsidR="006954B8" w:rsidRDefault="006954B8"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E100" w14:textId="53F2F109" w:rsidR="001D76A2" w:rsidRDefault="003900DA" w:rsidP="00AF3BE8">
    <w:pPr>
      <w:pStyle w:val="Footer"/>
      <w:pBdr>
        <w:top w:val="single" w:sz="4" w:space="8" w:color="A70240"/>
      </w:pBdr>
      <w:spacing w:before="360"/>
      <w:contextualSpacing/>
    </w:pPr>
    <w:r w:rsidRPr="00E8004A">
      <w:rPr>
        <w:noProof/>
        <w:color w:val="404040" w:themeColor="text1" w:themeTint="BF"/>
      </w:rPr>
      <w:t>Qu</w:t>
    </w:r>
    <w:r w:rsidR="005032B7" w:rsidRPr="00E8004A">
      <w:rPr>
        <w:noProof/>
        <w:color w:val="404040" w:themeColor="text1" w:themeTint="BF"/>
      </w:rPr>
      <w:t>e</w:t>
    </w:r>
    <w:r w:rsidRPr="00E8004A">
      <w:rPr>
        <w:noProof/>
        <w:color w:val="404040" w:themeColor="text1" w:themeTint="BF"/>
      </w:rPr>
      <w:t xml:space="preserve">ensland Government </w:t>
    </w:r>
    <w:r w:rsidR="00E44B2C" w:rsidRPr="002B6844">
      <w:rPr>
        <w:noProof/>
        <w:color w:val="404040" w:themeColor="text1" w:themeTint="BF"/>
      </w:rPr>
      <w:t>Procurement</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23" name="Picture 2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D020" w14:textId="77777777" w:rsidR="006954B8" w:rsidRDefault="006954B8" w:rsidP="00F752DB">
      <w:pPr>
        <w:spacing w:after="0" w:line="240" w:lineRule="auto"/>
      </w:pPr>
      <w:r>
        <w:separator/>
      </w:r>
    </w:p>
  </w:footnote>
  <w:footnote w:type="continuationSeparator" w:id="0">
    <w:p w14:paraId="46EC4E8E" w14:textId="77777777" w:rsidR="006954B8" w:rsidRDefault="006954B8" w:rsidP="00F752DB">
      <w:pPr>
        <w:spacing w:after="0" w:line="240" w:lineRule="auto"/>
      </w:pPr>
      <w:r>
        <w:continuationSeparator/>
      </w:r>
    </w:p>
  </w:footnote>
  <w:footnote w:id="1">
    <w:p w14:paraId="4566BED3" w14:textId="77777777" w:rsidR="00E44B2C" w:rsidRPr="00A41FF3" w:rsidRDefault="00E44B2C" w:rsidP="00E44B2C">
      <w:pPr>
        <w:pStyle w:val="FootnoteText"/>
        <w:rPr>
          <w:sz w:val="16"/>
          <w:szCs w:val="16"/>
        </w:rPr>
      </w:pPr>
      <w:r w:rsidRPr="00A41FF3">
        <w:rPr>
          <w:rStyle w:val="FootnoteReference"/>
          <w:sz w:val="16"/>
          <w:szCs w:val="16"/>
        </w:rPr>
        <w:footnoteRef/>
      </w:r>
      <w:r w:rsidRPr="00A41FF3">
        <w:rPr>
          <w:sz w:val="16"/>
          <w:szCs w:val="16"/>
        </w:rPr>
        <w:t xml:space="preserve"> </w:t>
      </w:r>
      <w:r w:rsidRPr="0032307A">
        <w:rPr>
          <w:i/>
          <w:iCs/>
          <w:sz w:val="16"/>
          <w:szCs w:val="16"/>
        </w:rPr>
        <w:t>Frequently asked questions</w:t>
      </w:r>
      <w:r w:rsidRPr="00A41FF3">
        <w:rPr>
          <w:sz w:val="16"/>
          <w:szCs w:val="16"/>
        </w:rPr>
        <w:t xml:space="preserve"> can be found at </w:t>
      </w:r>
      <w:hyperlink r:id="rId1" w:history="1">
        <w:r w:rsidRPr="0032307A">
          <w:rPr>
            <w:rStyle w:val="Hyperlink"/>
            <w:sz w:val="16"/>
            <w:szCs w:val="16"/>
          </w:rPr>
          <w:t>https://www.forgov.qld.gov.au/social-procurement-frequently-asked-questions</w:t>
        </w:r>
      </w:hyperlink>
    </w:p>
  </w:footnote>
  <w:footnote w:id="2">
    <w:p w14:paraId="11B38F21" w14:textId="77777777" w:rsidR="00E44B2C" w:rsidRDefault="00E44B2C" w:rsidP="00E44B2C">
      <w:pPr>
        <w:pStyle w:val="FootnoteText"/>
      </w:pPr>
      <w:r w:rsidRPr="00A41FF3">
        <w:rPr>
          <w:rStyle w:val="FootnoteReference"/>
          <w:sz w:val="16"/>
          <w:szCs w:val="16"/>
        </w:rPr>
        <w:footnoteRef/>
      </w:r>
      <w:r w:rsidRPr="00A41FF3">
        <w:rPr>
          <w:sz w:val="16"/>
          <w:szCs w:val="16"/>
        </w:rPr>
        <w:t xml:space="preserve"> </w:t>
      </w:r>
      <w:r w:rsidRPr="0032307A">
        <w:rPr>
          <w:i/>
          <w:iCs/>
          <w:sz w:val="16"/>
          <w:szCs w:val="16"/>
        </w:rPr>
        <w:t>Social procurement guide</w:t>
      </w:r>
      <w:r w:rsidRPr="00A41FF3">
        <w:rPr>
          <w:sz w:val="16"/>
          <w:szCs w:val="16"/>
        </w:rPr>
        <w:t xml:space="preserve"> can be found at </w:t>
      </w:r>
      <w:hyperlink r:id="rId2" w:history="1">
        <w:r w:rsidRPr="0032307A">
          <w:rPr>
            <w:rStyle w:val="Hyperlink"/>
            <w:sz w:val="16"/>
            <w:szCs w:val="16"/>
          </w:rPr>
          <w:t>https://www.hpw.qld.gov.au/__data/assets/pdf_file/0020/3980/socialprocurementguide.pdf</w:t>
        </w:r>
      </w:hyperlink>
    </w:p>
  </w:footnote>
  <w:footnote w:id="3">
    <w:p w14:paraId="30869CBC" w14:textId="77777777" w:rsidR="00E44B2C" w:rsidRPr="00A41FF3" w:rsidRDefault="00E44B2C" w:rsidP="00E44B2C">
      <w:pPr>
        <w:pStyle w:val="FootnoteText"/>
        <w:rPr>
          <w:sz w:val="16"/>
          <w:szCs w:val="16"/>
        </w:rPr>
      </w:pPr>
      <w:r>
        <w:rPr>
          <w:rStyle w:val="FootnoteReference"/>
        </w:rPr>
        <w:footnoteRef/>
      </w:r>
      <w:r>
        <w:t xml:space="preserve"> </w:t>
      </w:r>
      <w:r w:rsidRPr="0032307A">
        <w:rPr>
          <w:i/>
          <w:iCs/>
          <w:sz w:val="16"/>
          <w:szCs w:val="16"/>
        </w:rPr>
        <w:t>Social procurement clauses</w:t>
      </w:r>
      <w:r w:rsidRPr="00A41FF3">
        <w:rPr>
          <w:sz w:val="16"/>
          <w:szCs w:val="16"/>
        </w:rPr>
        <w:t xml:space="preserve"> can be found at </w:t>
      </w:r>
      <w:hyperlink r:id="rId3" w:history="1">
        <w:r w:rsidRPr="0032307A">
          <w:rPr>
            <w:rStyle w:val="Hyperlink"/>
            <w:sz w:val="16"/>
            <w:szCs w:val="16"/>
          </w:rPr>
          <w:t>https://www.hpw.qld.gov.au/__data/assets/pdf_file/0015/3435/socialprocurementclauses.pdf</w:t>
        </w:r>
      </w:hyperlink>
    </w:p>
  </w:footnote>
  <w:footnote w:id="4">
    <w:p w14:paraId="3737B788" w14:textId="77777777" w:rsidR="00E44B2C" w:rsidRPr="00A41FF3" w:rsidRDefault="00E44B2C" w:rsidP="00E44B2C">
      <w:pPr>
        <w:pStyle w:val="FootnoteText"/>
        <w:rPr>
          <w:sz w:val="16"/>
          <w:szCs w:val="16"/>
        </w:rPr>
      </w:pPr>
      <w:r>
        <w:rPr>
          <w:rStyle w:val="FootnoteReference"/>
        </w:rPr>
        <w:footnoteRef/>
      </w:r>
      <w:r>
        <w:t xml:space="preserve"> </w:t>
      </w:r>
      <w:r>
        <w:rPr>
          <w:sz w:val="16"/>
          <w:szCs w:val="16"/>
        </w:rPr>
        <w:t xml:space="preserve">Integrating sustainability into the procurement process can be found at </w:t>
      </w:r>
      <w:hyperlink r:id="rId4" w:history="1">
        <w:r w:rsidRPr="0032307A">
          <w:rPr>
            <w:rStyle w:val="Hyperlink"/>
            <w:sz w:val="16"/>
            <w:szCs w:val="16"/>
          </w:rPr>
          <w:t>https://www.hpw.qld.gov.au/__data/assets/pdf_file/0019/3349/procurementguideintegratingsustainability.pdf</w:t>
        </w:r>
      </w:hyperlink>
    </w:p>
  </w:footnote>
  <w:footnote w:id="5">
    <w:p w14:paraId="6F88B113" w14:textId="77777777" w:rsidR="00E44B2C" w:rsidRPr="0008107E" w:rsidRDefault="00E44B2C" w:rsidP="00E44B2C">
      <w:pPr>
        <w:pStyle w:val="FootnoteText"/>
        <w:rPr>
          <w:sz w:val="16"/>
          <w:szCs w:val="16"/>
        </w:rPr>
      </w:pPr>
      <w:r w:rsidRPr="0008107E">
        <w:rPr>
          <w:rStyle w:val="FootnoteReference"/>
          <w:sz w:val="16"/>
          <w:szCs w:val="16"/>
        </w:rPr>
        <w:footnoteRef/>
      </w:r>
      <w:r w:rsidRPr="0008107E">
        <w:rPr>
          <w:sz w:val="16"/>
          <w:szCs w:val="16"/>
        </w:rPr>
        <w:t xml:space="preserve"> Ending</w:t>
      </w:r>
      <w:r>
        <w:rPr>
          <w:sz w:val="16"/>
          <w:szCs w:val="16"/>
        </w:rPr>
        <w:t xml:space="preserve"> Domestic and Family Violence: Guidance for Government Buyers can be found at </w:t>
      </w:r>
      <w:hyperlink r:id="rId5" w:history="1">
        <w:r w:rsidRPr="0032307A">
          <w:rPr>
            <w:rStyle w:val="Hyperlink"/>
            <w:sz w:val="16"/>
            <w:szCs w:val="16"/>
          </w:rPr>
          <w:t>https://www.hpw.qld.gov.au/__data/assets/pdf_file/0014/3218/dfvguideforgovernmentbuyers.pdf</w:t>
        </w:r>
      </w:hyperlink>
    </w:p>
  </w:footnote>
  <w:footnote w:id="6">
    <w:p w14:paraId="69FE097B" w14:textId="77777777" w:rsidR="00E44B2C" w:rsidRPr="00675052" w:rsidRDefault="00E44B2C" w:rsidP="00E44B2C">
      <w:pPr>
        <w:pStyle w:val="FootnoteText"/>
        <w:rPr>
          <w:i/>
          <w:iCs/>
          <w:sz w:val="16"/>
          <w:szCs w:val="16"/>
        </w:rPr>
      </w:pPr>
      <w:r w:rsidRPr="00675052">
        <w:rPr>
          <w:rStyle w:val="FootnoteReference"/>
          <w:i/>
          <w:iCs/>
          <w:sz w:val="16"/>
          <w:szCs w:val="16"/>
        </w:rPr>
        <w:footnoteRef/>
      </w:r>
      <w:r w:rsidRPr="00675052">
        <w:rPr>
          <w:i/>
          <w:iCs/>
          <w:sz w:val="16"/>
          <w:szCs w:val="16"/>
        </w:rPr>
        <w:t xml:space="preserve"> Marginalised groups include, but are not limited to, people with disabilities, people from culturally and linguistically diverse backgrounds, people with a lived experience of mental health conditions, long term unemployed, </w:t>
      </w:r>
      <w:r>
        <w:rPr>
          <w:i/>
          <w:iCs/>
          <w:sz w:val="16"/>
          <w:szCs w:val="16"/>
        </w:rPr>
        <w:t xml:space="preserve">ex-offenders, </w:t>
      </w:r>
      <w:r w:rsidRPr="00675052">
        <w:rPr>
          <w:i/>
          <w:iCs/>
          <w:sz w:val="16"/>
          <w:szCs w:val="16"/>
        </w:rPr>
        <w:t>and women led and owned businesses</w:t>
      </w:r>
      <w:r>
        <w:rPr>
          <w:i/>
          <w:iCs/>
          <w:sz w:val="16"/>
          <w:szCs w:val="16"/>
        </w:rPr>
        <w:t>.</w:t>
      </w:r>
    </w:p>
  </w:footnote>
  <w:footnote w:id="7">
    <w:p w14:paraId="45C1B265" w14:textId="77777777" w:rsidR="009F742D" w:rsidRPr="00CB5D33" w:rsidRDefault="009F742D" w:rsidP="003D5E71">
      <w:pPr>
        <w:pStyle w:val="FootnoteText"/>
        <w:rPr>
          <w:i/>
          <w:iCs/>
        </w:rPr>
      </w:pPr>
      <w:r>
        <w:rPr>
          <w:rStyle w:val="FootnoteReference"/>
        </w:rPr>
        <w:footnoteRef/>
      </w:r>
      <w:r>
        <w:t xml:space="preserve"> </w:t>
      </w:r>
      <w:r>
        <w:rPr>
          <w:i/>
          <w:iCs/>
          <w:sz w:val="16"/>
          <w:szCs w:val="16"/>
        </w:rPr>
        <w:t>Subject to appropriate probity and fairness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11DE" w14:textId="71D82938" w:rsidR="001D76A2" w:rsidRDefault="007E1A13" w:rsidP="00AF3BE8">
    <w:pPr>
      <w:pStyle w:val="Header"/>
      <w:pBdr>
        <w:bottom w:val="single" w:sz="4" w:space="8" w:color="A70240"/>
      </w:pBdr>
      <w:spacing w:after="360"/>
      <w:contextualSpacing/>
      <w:jc w:val="right"/>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E44B2C">
          <w:rPr>
            <w:color w:val="404040" w:themeColor="text1" w:themeTint="BF"/>
            <w:sz w:val="16"/>
            <w:szCs w:val="16"/>
          </w:rPr>
          <w:t>Diversity in supply arrangements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2"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3EFCC2" id="Group 17" o:spid="_x0000_s1026" alt="&quot;&quot;"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">
              <v:rect id="Rectangle 1" o:spid="_x0000_s1027" alt="&quot;&quot;"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BA5"/>
    <w:multiLevelType w:val="hybridMultilevel"/>
    <w:tmpl w:val="133AD968"/>
    <w:lvl w:ilvl="0" w:tplc="0C090019">
      <w:start w:val="1"/>
      <w:numFmt w:val="lowerLetter"/>
      <w:lvlText w:val="%1."/>
      <w:lvlJc w:val="left"/>
      <w:pPr>
        <w:ind w:left="1353" w:hanging="360"/>
      </w:p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02AE5"/>
    <w:multiLevelType w:val="hybridMultilevel"/>
    <w:tmpl w:val="22AA4DFA"/>
    <w:lvl w:ilvl="0" w:tplc="0C090001">
      <w:start w:val="1"/>
      <w:numFmt w:val="bullet"/>
      <w:lvlText w:val=""/>
      <w:lvlJc w:val="left"/>
      <w:pPr>
        <w:ind w:left="720" w:hanging="360"/>
      </w:pPr>
      <w:rPr>
        <w:rFonts w:ascii="Symbol" w:hAnsi="Symbol" w:hint="default"/>
      </w:rPr>
    </w:lvl>
    <w:lvl w:ilvl="1" w:tplc="CDE43AA2">
      <w:start w:val="1"/>
      <w:numFmt w:val="bullet"/>
      <w:lvlText w:val="o"/>
      <w:lvlJc w:val="left"/>
      <w:pPr>
        <w:ind w:left="1440" w:hanging="360"/>
      </w:pPr>
      <w:rPr>
        <w:rFonts w:ascii="Courier New" w:hAnsi="Courier New" w:cs="Courier New" w:hint="default"/>
        <w:vertAlign w:val="baseline"/>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257F8C"/>
    <w:multiLevelType w:val="hybridMultilevel"/>
    <w:tmpl w:val="DCDC5F20"/>
    <w:lvl w:ilvl="0" w:tplc="0C090019">
      <w:start w:val="1"/>
      <w:numFmt w:val="lowerLetter"/>
      <w:lvlText w:val="%1."/>
      <w:lvlJc w:val="left"/>
      <w:pPr>
        <w:ind w:left="1353" w:hanging="360"/>
      </w:pPr>
    </w:lvl>
    <w:lvl w:ilvl="1" w:tplc="0C09001B">
      <w:start w:val="1"/>
      <w:numFmt w:val="lowerRoman"/>
      <w:lvlText w:val="%2."/>
      <w:lvlJc w:val="righ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40032A"/>
    <w:multiLevelType w:val="hybridMultilevel"/>
    <w:tmpl w:val="404064BE"/>
    <w:lvl w:ilvl="0" w:tplc="0C090019">
      <w:start w:val="1"/>
      <w:numFmt w:val="lowerLetter"/>
      <w:lvlText w:val="%1."/>
      <w:lvlJc w:val="left"/>
      <w:pPr>
        <w:ind w:left="1353" w:hanging="360"/>
      </w:pPr>
    </w:lvl>
    <w:lvl w:ilvl="1" w:tplc="0C09001B">
      <w:start w:val="1"/>
      <w:numFmt w:val="lowerRoman"/>
      <w:lvlText w:val="%2."/>
      <w:lvlJc w:val="righ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947A49"/>
    <w:multiLevelType w:val="hybridMultilevel"/>
    <w:tmpl w:val="37D8D896"/>
    <w:lvl w:ilvl="0" w:tplc="0C090001">
      <w:start w:val="1"/>
      <w:numFmt w:val="bullet"/>
      <w:lvlText w:val=""/>
      <w:lvlJc w:val="left"/>
      <w:pPr>
        <w:ind w:left="360" w:hanging="360"/>
      </w:pPr>
      <w:rPr>
        <w:rFonts w:ascii="Symbol" w:hAnsi="Symbol" w:hint="default"/>
      </w:rPr>
    </w:lvl>
    <w:lvl w:ilvl="1" w:tplc="71BC9AF0">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3138F8"/>
    <w:multiLevelType w:val="hybridMultilevel"/>
    <w:tmpl w:val="4F36298E"/>
    <w:lvl w:ilvl="0" w:tplc="8BA24B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1420E3"/>
    <w:multiLevelType w:val="hybridMultilevel"/>
    <w:tmpl w:val="C6FC50D8"/>
    <w:lvl w:ilvl="0" w:tplc="0C090001">
      <w:start w:val="1"/>
      <w:numFmt w:val="bullet"/>
      <w:lvlText w:val=""/>
      <w:lvlJc w:val="left"/>
      <w:pPr>
        <w:ind w:left="1735" w:hanging="360"/>
      </w:pPr>
      <w:rPr>
        <w:rFonts w:ascii="Symbol" w:hAnsi="Symbol" w:hint="default"/>
      </w:rPr>
    </w:lvl>
    <w:lvl w:ilvl="1" w:tplc="0C090003" w:tentative="1">
      <w:start w:val="1"/>
      <w:numFmt w:val="bullet"/>
      <w:lvlText w:val="o"/>
      <w:lvlJc w:val="left"/>
      <w:pPr>
        <w:ind w:left="2455" w:hanging="360"/>
      </w:pPr>
      <w:rPr>
        <w:rFonts w:ascii="Courier New" w:hAnsi="Courier New" w:cs="Courier New" w:hint="default"/>
      </w:rPr>
    </w:lvl>
    <w:lvl w:ilvl="2" w:tplc="0C090005" w:tentative="1">
      <w:start w:val="1"/>
      <w:numFmt w:val="bullet"/>
      <w:lvlText w:val=""/>
      <w:lvlJc w:val="left"/>
      <w:pPr>
        <w:ind w:left="3175" w:hanging="360"/>
      </w:pPr>
      <w:rPr>
        <w:rFonts w:ascii="Wingdings" w:hAnsi="Wingdings" w:hint="default"/>
      </w:rPr>
    </w:lvl>
    <w:lvl w:ilvl="3" w:tplc="0C090001" w:tentative="1">
      <w:start w:val="1"/>
      <w:numFmt w:val="bullet"/>
      <w:lvlText w:val=""/>
      <w:lvlJc w:val="left"/>
      <w:pPr>
        <w:ind w:left="3895" w:hanging="360"/>
      </w:pPr>
      <w:rPr>
        <w:rFonts w:ascii="Symbol" w:hAnsi="Symbol" w:hint="default"/>
      </w:rPr>
    </w:lvl>
    <w:lvl w:ilvl="4" w:tplc="0C090003" w:tentative="1">
      <w:start w:val="1"/>
      <w:numFmt w:val="bullet"/>
      <w:lvlText w:val="o"/>
      <w:lvlJc w:val="left"/>
      <w:pPr>
        <w:ind w:left="4615" w:hanging="360"/>
      </w:pPr>
      <w:rPr>
        <w:rFonts w:ascii="Courier New" w:hAnsi="Courier New" w:cs="Courier New" w:hint="default"/>
      </w:rPr>
    </w:lvl>
    <w:lvl w:ilvl="5" w:tplc="0C090005" w:tentative="1">
      <w:start w:val="1"/>
      <w:numFmt w:val="bullet"/>
      <w:lvlText w:val=""/>
      <w:lvlJc w:val="left"/>
      <w:pPr>
        <w:ind w:left="5335" w:hanging="360"/>
      </w:pPr>
      <w:rPr>
        <w:rFonts w:ascii="Wingdings" w:hAnsi="Wingdings" w:hint="default"/>
      </w:rPr>
    </w:lvl>
    <w:lvl w:ilvl="6" w:tplc="0C090001" w:tentative="1">
      <w:start w:val="1"/>
      <w:numFmt w:val="bullet"/>
      <w:lvlText w:val=""/>
      <w:lvlJc w:val="left"/>
      <w:pPr>
        <w:ind w:left="6055" w:hanging="360"/>
      </w:pPr>
      <w:rPr>
        <w:rFonts w:ascii="Symbol" w:hAnsi="Symbol" w:hint="default"/>
      </w:rPr>
    </w:lvl>
    <w:lvl w:ilvl="7" w:tplc="0C090003" w:tentative="1">
      <w:start w:val="1"/>
      <w:numFmt w:val="bullet"/>
      <w:lvlText w:val="o"/>
      <w:lvlJc w:val="left"/>
      <w:pPr>
        <w:ind w:left="6775" w:hanging="360"/>
      </w:pPr>
      <w:rPr>
        <w:rFonts w:ascii="Courier New" w:hAnsi="Courier New" w:cs="Courier New" w:hint="default"/>
      </w:rPr>
    </w:lvl>
    <w:lvl w:ilvl="8" w:tplc="0C090005" w:tentative="1">
      <w:start w:val="1"/>
      <w:numFmt w:val="bullet"/>
      <w:lvlText w:val=""/>
      <w:lvlJc w:val="left"/>
      <w:pPr>
        <w:ind w:left="7495" w:hanging="360"/>
      </w:pPr>
      <w:rPr>
        <w:rFonts w:ascii="Wingdings" w:hAnsi="Wingdings" w:hint="default"/>
      </w:rPr>
    </w:lvl>
  </w:abstractNum>
  <w:abstractNum w:abstractNumId="13"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3019D7"/>
    <w:multiLevelType w:val="hybridMultilevel"/>
    <w:tmpl w:val="14623370"/>
    <w:lvl w:ilvl="0" w:tplc="0C090019">
      <w:start w:val="1"/>
      <w:numFmt w:val="lowerLetter"/>
      <w:lvlText w:val="%1."/>
      <w:lvlJc w:val="left"/>
      <w:pPr>
        <w:ind w:left="1353" w:hanging="360"/>
      </w:p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5C4209C9"/>
    <w:multiLevelType w:val="hybridMultilevel"/>
    <w:tmpl w:val="2A4E4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D46F14"/>
    <w:multiLevelType w:val="hybridMultilevel"/>
    <w:tmpl w:val="23164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6D1762"/>
    <w:multiLevelType w:val="hybridMultilevel"/>
    <w:tmpl w:val="60D89BFC"/>
    <w:lvl w:ilvl="0" w:tplc="0C090001">
      <w:start w:val="1"/>
      <w:numFmt w:val="bullet"/>
      <w:lvlText w:val=""/>
      <w:lvlJc w:val="left"/>
      <w:pPr>
        <w:ind w:left="360" w:hanging="360"/>
      </w:pPr>
      <w:rPr>
        <w:rFonts w:ascii="Symbol" w:hAnsi="Symbol" w:hint="default"/>
      </w:rPr>
    </w:lvl>
    <w:lvl w:ilvl="1" w:tplc="5284E24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7156892">
    <w:abstractNumId w:val="1"/>
  </w:num>
  <w:num w:numId="2" w16cid:durableId="350886487">
    <w:abstractNumId w:val="6"/>
  </w:num>
  <w:num w:numId="3" w16cid:durableId="1537430576">
    <w:abstractNumId w:val="13"/>
  </w:num>
  <w:num w:numId="4" w16cid:durableId="119154835">
    <w:abstractNumId w:val="18"/>
  </w:num>
  <w:num w:numId="5" w16cid:durableId="708339693">
    <w:abstractNumId w:val="2"/>
  </w:num>
  <w:num w:numId="6" w16cid:durableId="159977709">
    <w:abstractNumId w:val="3"/>
  </w:num>
  <w:num w:numId="7" w16cid:durableId="240676272">
    <w:abstractNumId w:val="8"/>
  </w:num>
  <w:num w:numId="8" w16cid:durableId="655261282">
    <w:abstractNumId w:val="11"/>
  </w:num>
  <w:num w:numId="9" w16cid:durableId="1696618875">
    <w:abstractNumId w:val="12"/>
  </w:num>
  <w:num w:numId="10" w16cid:durableId="1569264143">
    <w:abstractNumId w:val="10"/>
  </w:num>
  <w:num w:numId="11" w16cid:durableId="1419641906">
    <w:abstractNumId w:val="16"/>
  </w:num>
  <w:num w:numId="12" w16cid:durableId="1851333466">
    <w:abstractNumId w:val="0"/>
  </w:num>
  <w:num w:numId="13" w16cid:durableId="514150119">
    <w:abstractNumId w:val="7"/>
  </w:num>
  <w:num w:numId="14" w16cid:durableId="1524788281">
    <w:abstractNumId w:val="14"/>
  </w:num>
  <w:num w:numId="15" w16cid:durableId="2039309623">
    <w:abstractNumId w:val="5"/>
  </w:num>
  <w:num w:numId="16" w16cid:durableId="483741894">
    <w:abstractNumId w:val="15"/>
  </w:num>
  <w:num w:numId="17" w16cid:durableId="647898480">
    <w:abstractNumId w:val="9"/>
  </w:num>
  <w:num w:numId="18" w16cid:durableId="954024801">
    <w:abstractNumId w:val="4"/>
  </w:num>
  <w:num w:numId="19" w16cid:durableId="5636793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321E"/>
    <w:rsid w:val="000140F8"/>
    <w:rsid w:val="00071234"/>
    <w:rsid w:val="00093D8E"/>
    <w:rsid w:val="000F4BE1"/>
    <w:rsid w:val="00105D9D"/>
    <w:rsid w:val="00140B0B"/>
    <w:rsid w:val="00142FC9"/>
    <w:rsid w:val="00172C66"/>
    <w:rsid w:val="001B5456"/>
    <w:rsid w:val="001B62D8"/>
    <w:rsid w:val="001D76A2"/>
    <w:rsid w:val="00211A7F"/>
    <w:rsid w:val="0028184C"/>
    <w:rsid w:val="002B6844"/>
    <w:rsid w:val="002F2A04"/>
    <w:rsid w:val="00316769"/>
    <w:rsid w:val="00381F07"/>
    <w:rsid w:val="003900DA"/>
    <w:rsid w:val="003A1CD0"/>
    <w:rsid w:val="003D15D0"/>
    <w:rsid w:val="003D264C"/>
    <w:rsid w:val="00450C6F"/>
    <w:rsid w:val="00451FBC"/>
    <w:rsid w:val="004543F3"/>
    <w:rsid w:val="00496DCC"/>
    <w:rsid w:val="004A0CF6"/>
    <w:rsid w:val="004E25E5"/>
    <w:rsid w:val="005032B7"/>
    <w:rsid w:val="00577893"/>
    <w:rsid w:val="005A7EB2"/>
    <w:rsid w:val="00661BA1"/>
    <w:rsid w:val="00673C5E"/>
    <w:rsid w:val="006762F3"/>
    <w:rsid w:val="006954B8"/>
    <w:rsid w:val="006C1B5D"/>
    <w:rsid w:val="00701011"/>
    <w:rsid w:val="007259BB"/>
    <w:rsid w:val="00771003"/>
    <w:rsid w:val="007A4B81"/>
    <w:rsid w:val="007A7AD0"/>
    <w:rsid w:val="007E1A13"/>
    <w:rsid w:val="007E4719"/>
    <w:rsid w:val="00847102"/>
    <w:rsid w:val="008C1845"/>
    <w:rsid w:val="008D3832"/>
    <w:rsid w:val="00985A48"/>
    <w:rsid w:val="009908A1"/>
    <w:rsid w:val="009C7BC5"/>
    <w:rsid w:val="009E17F0"/>
    <w:rsid w:val="009E1AC4"/>
    <w:rsid w:val="009F742D"/>
    <w:rsid w:val="00AB0F2F"/>
    <w:rsid w:val="00AF3BE8"/>
    <w:rsid w:val="00B33273"/>
    <w:rsid w:val="00B64E30"/>
    <w:rsid w:val="00B846B4"/>
    <w:rsid w:val="00C34967"/>
    <w:rsid w:val="00C54CF3"/>
    <w:rsid w:val="00D567A5"/>
    <w:rsid w:val="00D6658F"/>
    <w:rsid w:val="00E44B2C"/>
    <w:rsid w:val="00E8004A"/>
    <w:rsid w:val="00EA2C95"/>
    <w:rsid w:val="00EE37B8"/>
    <w:rsid w:val="00F502A1"/>
    <w:rsid w:val="00F752DB"/>
    <w:rsid w:val="00F81DE9"/>
    <w:rsid w:val="00F905BC"/>
    <w:rsid w:val="00FC3A63"/>
    <w:rsid w:val="00FE0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567A5"/>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567A5"/>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E44B2C"/>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TOC1">
    <w:name w:val="toc 1"/>
    <w:basedOn w:val="Heading1"/>
    <w:next w:val="Normal"/>
    <w:uiPriority w:val="39"/>
    <w:rsid w:val="00E44B2C"/>
    <w:pPr>
      <w:keepNext w:val="0"/>
      <w:keepLines w:val="0"/>
      <w:tabs>
        <w:tab w:val="right" w:leader="dot" w:pos="9639"/>
      </w:tabs>
      <w:autoSpaceDE w:val="0"/>
      <w:autoSpaceDN w:val="0"/>
      <w:adjustRightInd w:val="0"/>
      <w:spacing w:before="240" w:after="0" w:line="264" w:lineRule="auto"/>
    </w:pPr>
    <w:rPr>
      <w:rFonts w:eastAsia="Times New Roman" w:cs="Arial"/>
      <w:b/>
      <w:bCs/>
      <w:color w:val="A70236"/>
      <w:sz w:val="22"/>
      <w:szCs w:val="20"/>
      <w:lang w:eastAsia="en-AU"/>
    </w:rPr>
  </w:style>
  <w:style w:type="paragraph" w:styleId="TOC3">
    <w:name w:val="toc 3"/>
    <w:basedOn w:val="Normal"/>
    <w:next w:val="Normal"/>
    <w:uiPriority w:val="39"/>
    <w:rsid w:val="00E44B2C"/>
    <w:pPr>
      <w:tabs>
        <w:tab w:val="right" w:pos="9639"/>
      </w:tabs>
      <w:spacing w:before="60" w:after="60" w:line="264" w:lineRule="auto"/>
      <w:ind w:left="340"/>
    </w:pPr>
    <w:rPr>
      <w:rFonts w:eastAsia="Times New Roman" w:cs="Times New Roman"/>
      <w:sz w:val="22"/>
      <w:szCs w:val="24"/>
    </w:rPr>
  </w:style>
  <w:style w:type="paragraph" w:styleId="TOCHeading">
    <w:name w:val="TOC Heading"/>
    <w:basedOn w:val="Heading1"/>
    <w:next w:val="Normal"/>
    <w:uiPriority w:val="39"/>
    <w:unhideWhenUsed/>
    <w:qFormat/>
    <w:rsid w:val="00E44B2C"/>
    <w:pPr>
      <w:spacing w:before="240" w:after="0" w:line="259" w:lineRule="auto"/>
      <w:outlineLvl w:val="9"/>
    </w:pPr>
    <w:rPr>
      <w:rFonts w:eastAsia="Times New Roman" w:cs="Times New Roman"/>
      <w:b/>
      <w:color w:val="A70236"/>
      <w:sz w:val="32"/>
      <w:lang w:val="en-US"/>
    </w:rPr>
  </w:style>
  <w:style w:type="paragraph" w:styleId="FootnoteText">
    <w:name w:val="footnote text"/>
    <w:basedOn w:val="Normal"/>
    <w:link w:val="FootnoteTextChar"/>
    <w:rsid w:val="00E44B2C"/>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E44B2C"/>
    <w:rPr>
      <w:rFonts w:ascii="Arial" w:eastAsia="Times New Roman" w:hAnsi="Arial" w:cs="Times New Roman"/>
      <w:sz w:val="18"/>
      <w:szCs w:val="20"/>
    </w:rPr>
  </w:style>
  <w:style w:type="character" w:styleId="FootnoteReference">
    <w:name w:val="footnote reference"/>
    <w:semiHidden/>
    <w:rsid w:val="00E44B2C"/>
    <w:rPr>
      <w:vertAlign w:val="superscript"/>
    </w:rPr>
  </w:style>
  <w:style w:type="paragraph" w:styleId="BodyText">
    <w:name w:val="Body Text"/>
    <w:basedOn w:val="Normal"/>
    <w:link w:val="BodyTextChar"/>
    <w:rsid w:val="00E44B2C"/>
    <w:pPr>
      <w:spacing w:before="120" w:after="120" w:line="264" w:lineRule="auto"/>
    </w:pPr>
    <w:rPr>
      <w:rFonts w:eastAsia="Times New Roman" w:cs="Times New Roman"/>
      <w:sz w:val="22"/>
      <w:szCs w:val="24"/>
    </w:rPr>
  </w:style>
  <w:style w:type="character" w:customStyle="1" w:styleId="BodyTextChar">
    <w:name w:val="Body Text Char"/>
    <w:basedOn w:val="DefaultParagraphFont"/>
    <w:link w:val="BodyText"/>
    <w:rsid w:val="00E44B2C"/>
    <w:rPr>
      <w:rFonts w:ascii="Arial" w:eastAsia="Times New Roman" w:hAnsi="Arial" w:cs="Times New Roman"/>
      <w:szCs w:val="24"/>
    </w:rPr>
  </w:style>
  <w:style w:type="character" w:styleId="CommentReference">
    <w:name w:val="annotation reference"/>
    <w:basedOn w:val="DefaultParagraphFont"/>
    <w:rsid w:val="009F742D"/>
    <w:rPr>
      <w:sz w:val="16"/>
      <w:szCs w:val="16"/>
    </w:rPr>
  </w:style>
  <w:style w:type="paragraph" w:styleId="CommentText">
    <w:name w:val="annotation text"/>
    <w:basedOn w:val="Normal"/>
    <w:link w:val="CommentTextChar"/>
    <w:rsid w:val="009F742D"/>
    <w:pPr>
      <w:spacing w:before="120" w:after="60" w:line="240" w:lineRule="auto"/>
    </w:pPr>
    <w:rPr>
      <w:rFonts w:eastAsia="Times New Roman" w:cs="Times New Roman"/>
      <w:szCs w:val="20"/>
    </w:rPr>
  </w:style>
  <w:style w:type="character" w:customStyle="1" w:styleId="CommentTextChar">
    <w:name w:val="Comment Text Char"/>
    <w:basedOn w:val="DefaultParagraphFont"/>
    <w:link w:val="CommentText"/>
    <w:rsid w:val="009F74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0B0B"/>
    <w:pPr>
      <w:spacing w:before="0"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140B0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F3BE8"/>
    <w:rPr>
      <w:color w:val="44546A" w:themeColor="followedHyperlink"/>
      <w:u w:val="single"/>
    </w:rPr>
  </w:style>
  <w:style w:type="paragraph" w:styleId="Revision">
    <w:name w:val="Revision"/>
    <w:hidden/>
    <w:uiPriority w:val="99"/>
    <w:semiHidden/>
    <w:rsid w:val="002F2A04"/>
    <w:pPr>
      <w:spacing w:after="0" w:line="240" w:lineRule="auto"/>
    </w:pPr>
    <w:rPr>
      <w:rFonts w:ascii="Arial" w:hAnsi="Arial"/>
      <w:sz w:val="20"/>
    </w:rPr>
  </w:style>
  <w:style w:type="character" w:customStyle="1" w:styleId="ui-provider">
    <w:name w:val="ui-provider"/>
    <w:basedOn w:val="DefaultParagraphFont"/>
    <w:rsid w:val="003D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w.qld.gov.au/SiteCollectionDocuments/SocialProcurementGuide.pdf" TargetMode="External"/><Relationship Id="rId18" Type="http://schemas.openxmlformats.org/officeDocument/2006/relationships/hyperlink" Target="https://qtenders.hpw.qld.gov.au/qtender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orgov.qld.gov.au/__data/assets/pdf_file/0021/367023/queensland-procurement-policy-2023.pdf" TargetMode="External"/><Relationship Id="rId17" Type="http://schemas.openxmlformats.org/officeDocument/2006/relationships/hyperlink" Target="https://www.dsdsatsip.qld.gov.au/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pw.qld.gov.au/SiteCollectionDocuments/DFVGuideForGovernmentBuyers.pdf" TargetMode="External"/><Relationship Id="rId20" Type="http://schemas.openxmlformats.org/officeDocument/2006/relationships/hyperlink" Target="https://www.hpw.qld.gov.au/__data/assets/pdf_file/0010/12043/social-enterprise-certification-guid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4.0/deed.e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pw.qld.gov.au/__data/assets/pdf_file/0019/3349/procurementguideintegratingsustainability.pdf" TargetMode="Externa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https://supplynati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pw.qld.gov.au/SiteCollectionDocuments/SocialProcurementClauses.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hpw.qld.gov.au/__data/assets/pdf_file/0015/3435/socialprocurementclauses.pdf" TargetMode="External"/><Relationship Id="rId2" Type="http://schemas.openxmlformats.org/officeDocument/2006/relationships/hyperlink" Target="https://www.hpw.qld.gov.au/__data/assets/pdf_file/0020/3980/socialprocurementguide.pdf" TargetMode="External"/><Relationship Id="rId1" Type="http://schemas.openxmlformats.org/officeDocument/2006/relationships/hyperlink" Target="https://www.forgov.qld.gov.au/social-procurement-frequently-asked-questions" TargetMode="External"/><Relationship Id="rId5" Type="http://schemas.openxmlformats.org/officeDocument/2006/relationships/hyperlink" Target="https://www.hpw.qld.gov.au/__data/assets/pdf_file/0014/3218/dfvguideforgovernmentbuyers.pdf" TargetMode="External"/><Relationship Id="rId4" Type="http://schemas.openxmlformats.org/officeDocument/2006/relationships/hyperlink" Target="https://www.hpw.qld.gov.au/__data/assets/pdf_file/0019/3349/procurementguideintegratingsustainabili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752BA7"/>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c1de0c-14be-4349-9595-c66631253391">
      <Value>2700</Value>
      <Value>404</Value>
      <Value>504</Value>
      <Value>183</Value>
      <Value>406</Value>
    </TaxCatchAll>
    <SharedWithUsers xmlns="1f18235b-1f1d-494e-9473-a77a4a9d27c9">
      <UserInfo>
        <DisplayName>BRIDGE Kelly</DisplayName>
        <AccountId>29</AccountId>
        <AccountType/>
      </UserInfo>
    </SharedWithUsers>
    <Documenttype xmlns="6164c57a-bc80-43a9-9581-569824be6d95">Update documents</Documenttype>
    <lcf76f155ced4ddcb4097134ff3c332f xmlns="6164c57a-bc80-43a9-9581-569824be6d95">
      <Terms xmlns="http://schemas.microsoft.com/office/infopath/2007/PartnerControls"/>
    </lcf76f155ced4ddcb4097134ff3c332f>
    <JobGUID xmlns="6164c57a-bc80-43a9-9581-569824be6d95">7a969a85-0850-4c64-89fa-b749da8532a8</JobGU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2.xml><?xml version="1.0" encoding="utf-8"?>
<ds:datastoreItem xmlns:ds="http://schemas.openxmlformats.org/officeDocument/2006/customXml" ds:itemID="{3FD1258E-7A72-41CC-A44D-DC314B02E7D2}">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3.xml><?xml version="1.0" encoding="utf-8"?>
<ds:datastoreItem xmlns:ds="http://schemas.openxmlformats.org/officeDocument/2006/customXml" ds:itemID="{441FF16F-89BC-4654-8171-009FC2616109}"/>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Diversity in supply arrangements</vt:lpstr>
    </vt:vector>
  </TitlesOfParts>
  <Company>Department of Housing and Public Works</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supply arrangements</dc:title>
  <dc:subject/>
  <dc:creator>Department of Housing and Public Works</dc:creator>
  <cp:keywords>cover; Template; portrait; a4; simple</cp:keywords>
  <dc:description>A4 portrait template for HPW documents</dc:description>
  <cp:lastModifiedBy>Fiona Oliver</cp:lastModifiedBy>
  <cp:revision>2</cp:revision>
  <cp:lastPrinted>2023-11-20T06:38:00Z</cp:lastPrinted>
  <dcterms:created xsi:type="dcterms:W3CDTF">2023-11-27T02:27:00Z</dcterms:created>
  <dcterms:modified xsi:type="dcterms:W3CDTF">2023-11-27T02:27:00Z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